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6363D2">
        <w:rPr>
          <w:rFonts w:cs="Times New Roman"/>
          <w:sz w:val="24"/>
          <w:szCs w:val="24"/>
          <w:u w:val="single"/>
        </w:rPr>
        <w:t>11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B92B63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B92B63">
        <w:rPr>
          <w:rFonts w:ascii="Times New Roman" w:hAnsi="Times New Roman" w:cs="Times New Roman"/>
          <w:sz w:val="24"/>
          <w:szCs w:val="24"/>
          <w:u w:val="single"/>
        </w:rPr>
        <w:t>00068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6363D2">
        <w:rPr>
          <w:rFonts w:cs="Times New Roman"/>
        </w:rPr>
        <w:t>the Phonics Inventory in grade 10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6363D2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11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363D2">
            <w:rPr>
              <w:rStyle w:val="Style1"/>
            </w:rPr>
            <w:t>Eleventh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B92B63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B92B63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343C2E">
              <w:rPr>
                <w:rFonts w:cs="Times New Roman"/>
              </w:rPr>
              <w:t>Student should remain in the course until  Advanced Decoder Status is achieved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 xml:space="preserve">1 Credit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Student 44</w:t>
      </w:r>
      <w:r w:rsidR="005933BC">
        <w:rPr>
          <w:rFonts w:cs="Times New Roman"/>
        </w:rPr>
        <w:t xml:space="preserve"> Next Generation</w:t>
      </w:r>
      <w:r w:rsidRPr="005B579E">
        <w:rPr>
          <w:rFonts w:cs="Times New Roman"/>
        </w:rPr>
        <w:t xml:space="preserve"> Book</w:t>
      </w:r>
      <w:r w:rsidR="005933BC">
        <w:rPr>
          <w:rFonts w:cs="Times New Roman"/>
        </w:rPr>
        <w:t xml:space="preserve"> Secondary</w:t>
      </w:r>
      <w:r>
        <w:rPr>
          <w:rFonts w:cs="Times New Roman"/>
        </w:rPr>
        <w:t xml:space="preserve">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DC3635">
        <w:rPr>
          <w:rFonts w:cs="Times New Roman"/>
        </w:rPr>
        <w:t>978-0-545-50122-4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>8/15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3BC" w:rsidRPr="00D50EF7">
        <w:rPr>
          <w:rFonts w:ascii="Times New Roman" w:hAnsi="Times New Roman" w:cs="Times New Roman"/>
          <w:b/>
          <w:sz w:val="24"/>
          <w:szCs w:val="24"/>
        </w:rPr>
        <w:t>Approved</w:t>
      </w:r>
      <w:r w:rsidR="005933BC">
        <w:rPr>
          <w:rFonts w:ascii="Times New Roman" w:hAnsi="Times New Roman" w:cs="Times New Roman"/>
          <w:b/>
          <w:sz w:val="24"/>
          <w:szCs w:val="24"/>
        </w:rPr>
        <w:t>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lastRenderedPageBreak/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lastRenderedPageBreak/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lastRenderedPageBreak/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B92B63" w:rsidRPr="00D844D5" w:rsidRDefault="00B92B63" w:rsidP="00F72DCD">
      <w:pPr>
        <w:spacing w:after="0" w:line="240" w:lineRule="auto"/>
        <w:ind w:left="720" w:firstLine="720"/>
      </w:pPr>
      <w:bookmarkStart w:id="2" w:name="_GoBack"/>
      <w:bookmarkEnd w:id="2"/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C1062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62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576AE2" w:rsidRPr="00576AE2">
        <w:rPr>
          <w:rFonts w:cs="Times New Roman"/>
          <w:sz w:val="24"/>
          <w:szCs w:val="24"/>
          <w:u w:val="single"/>
        </w:rPr>
        <w:t xml:space="preserve"> </w:t>
      </w:r>
      <w:r w:rsidR="00576AE2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324885"/>
    <w:rsid w:val="00343C2E"/>
    <w:rsid w:val="00357DE0"/>
    <w:rsid w:val="00366006"/>
    <w:rsid w:val="00430749"/>
    <w:rsid w:val="00430C6D"/>
    <w:rsid w:val="0045367D"/>
    <w:rsid w:val="00473917"/>
    <w:rsid w:val="0048765E"/>
    <w:rsid w:val="004F6F5E"/>
    <w:rsid w:val="00576AE2"/>
    <w:rsid w:val="005933BC"/>
    <w:rsid w:val="005B579E"/>
    <w:rsid w:val="005C156C"/>
    <w:rsid w:val="005D61D4"/>
    <w:rsid w:val="006363D2"/>
    <w:rsid w:val="0064113F"/>
    <w:rsid w:val="00654F40"/>
    <w:rsid w:val="0065626B"/>
    <w:rsid w:val="006916BA"/>
    <w:rsid w:val="006B05D3"/>
    <w:rsid w:val="006E2A52"/>
    <w:rsid w:val="00725A13"/>
    <w:rsid w:val="00880C0D"/>
    <w:rsid w:val="00972A6A"/>
    <w:rsid w:val="00A4288C"/>
    <w:rsid w:val="00A42CAD"/>
    <w:rsid w:val="00A54147"/>
    <w:rsid w:val="00A94E3E"/>
    <w:rsid w:val="00AE5308"/>
    <w:rsid w:val="00B06A2C"/>
    <w:rsid w:val="00B92B63"/>
    <w:rsid w:val="00BF2E13"/>
    <w:rsid w:val="00C05D5A"/>
    <w:rsid w:val="00C1062B"/>
    <w:rsid w:val="00C93A95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0A85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20327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Swab, Lynette</dc:creator>
  <cp:lastModifiedBy>Hawley, Patricia</cp:lastModifiedBy>
  <cp:revision>2</cp:revision>
  <dcterms:created xsi:type="dcterms:W3CDTF">2017-08-21T17:54:00Z</dcterms:created>
  <dcterms:modified xsi:type="dcterms:W3CDTF">2017-08-21T17:54:00Z</dcterms:modified>
</cp:coreProperties>
</file>