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7C44BEBF"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3877B5">
            <w:rPr>
              <w:rFonts w:cstheme="minorHAnsi"/>
            </w:rPr>
            <w:t>Health 3</w:t>
          </w:r>
        </w:sdtContent>
      </w:sdt>
    </w:p>
    <w:p w14:paraId="7DBD16A4" w14:textId="1DDD4FC8"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3877B5">
            <w:rPr>
              <w:rFonts w:cstheme="minorHAnsi"/>
            </w:rPr>
            <w:t>08367</w:t>
          </w:r>
        </w:sdtContent>
      </w:sdt>
    </w:p>
    <w:p w14:paraId="5A1A935A" w14:textId="2F008EF1"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3877B5">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51B5A52E"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534C45">
            <w:t>Third grade health shall teach, challenge, and support the exploration of concepts for healthy living. Students will be exposed to valid health information through technology, media, health care personnel, guidance staff and experiences.</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568417E6"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534C45">
            <w:rPr>
              <w:rFonts w:cstheme="minorHAnsi"/>
            </w:rPr>
            <w:t>Grade 3</w:t>
          </w:r>
        </w:sdtContent>
      </w:sdt>
    </w:p>
    <w:p w14:paraId="19574833" w14:textId="1CAD343F"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534C45">
            <w:rPr>
              <w:rFonts w:cstheme="minorHAnsi"/>
            </w:rPr>
            <w:t>Once A Week</w:t>
          </w:r>
        </w:sdtContent>
      </w:sdt>
    </w:p>
    <w:p w14:paraId="44798805" w14:textId="6C161B7D"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534C45">
            <w:rPr>
              <w:rFonts w:cstheme="minorHAnsi"/>
            </w:rPr>
            <w:t>None</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70B9DD22" w:rsidR="00233FF6" w:rsidRPr="002872D0" w:rsidRDefault="00534C45" w:rsidP="002E4B5B">
          <w:pPr>
            <w:tabs>
              <w:tab w:val="center" w:pos="4680"/>
            </w:tabs>
            <w:spacing w:after="0" w:line="240" w:lineRule="auto"/>
            <w:rPr>
              <w:rFonts w:cstheme="minorHAnsi"/>
            </w:rPr>
          </w:pPr>
          <w:r>
            <w:rPr>
              <w:rFonts w:cstheme="minorHAnsi"/>
            </w:rPr>
            <w:t>CSPG 47</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9"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3B232FF1"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534C45">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3592EB98"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1802C4">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74840DC5"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1802C4">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1802C4">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7500E48D"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EndPr/>
        <w:sdtContent>
          <w:r w:rsidR="001802C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3208765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1802C4">
            <w:rPr>
              <w:rFonts w:asciiTheme="minorHAnsi" w:hAnsiTheme="minorHAnsi" w:cstheme="minorHAnsi"/>
              <w:color w:val="000000"/>
            </w:rPr>
            <w:t>08073</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0"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0EBE8BB3" w14:textId="77777777" w:rsidR="00FC4D42" w:rsidRDefault="00FC4D42" w:rsidP="008A3F75">
      <w:pPr>
        <w:tabs>
          <w:tab w:val="left" w:pos="3231"/>
        </w:tabs>
        <w:rPr>
          <w:b/>
          <w:sz w:val="24"/>
          <w:szCs w:val="24"/>
          <w:u w:val="single"/>
        </w:rPr>
      </w:pPr>
    </w:p>
    <w:p w14:paraId="6532E4A5" w14:textId="78AC8D88"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75081554"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1802C4">
            <w:t>NA</w:t>
          </w:r>
        </w:sdtContent>
      </w:sdt>
    </w:p>
    <w:p w14:paraId="3BDFCBA3" w14:textId="481178FF"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1802C4">
            <w:t>NA</w:t>
          </w:r>
        </w:sdtContent>
      </w:sdt>
    </w:p>
    <w:p w14:paraId="13940A2E" w14:textId="6C1EC87F"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1802C4">
            <w:t>NA</w:t>
          </w:r>
        </w:sdtContent>
      </w:sdt>
    </w:p>
    <w:p w14:paraId="315731A5" w14:textId="31E4E3A0"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1802C4">
            <w:t>NA</w:t>
          </w:r>
        </w:sdtContent>
      </w:sdt>
    </w:p>
    <w:p w14:paraId="791863D9" w14:textId="57DB0A30"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1802C4">
                <w:t>NA</w:t>
              </w:r>
            </w:sdtContent>
          </w:sdt>
        </w:sdtContent>
      </w:sdt>
    </w:p>
    <w:p w14:paraId="37BB8507" w14:textId="6288949F"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1802C4">
            <w:t>NA</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0CA13933"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18-02-13T00:00:00Z">
            <w:dateFormat w:val="M/d/yyyy"/>
            <w:lid w:val="en-US"/>
            <w:storeMappedDataAs w:val="dateTime"/>
            <w:calendar w:val="gregorian"/>
          </w:date>
        </w:sdtPr>
        <w:sdtEndPr/>
        <w:sdtContent>
          <w:r w:rsidR="001802C4">
            <w:t>2/13/2018</w:t>
          </w:r>
        </w:sdtContent>
      </w:sdt>
    </w:p>
    <w:p w14:paraId="76FD3474" w14:textId="70DADDA2"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8-06-11T00:00:00Z">
            <w:dateFormat w:val="M/d/yyyy"/>
            <w:lid w:val="en-US"/>
            <w:storeMappedDataAs w:val="dateTime"/>
            <w:calendar w:val="gregorian"/>
          </w:date>
        </w:sdtPr>
        <w:sdtEndPr/>
        <w:sdtContent>
          <w:r w:rsidR="001802C4">
            <w:t>6/11/2018</w:t>
          </w:r>
        </w:sdtContent>
      </w:sdt>
    </w:p>
    <w:p w14:paraId="6AD24045" w14:textId="217C9694"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1802C4">
            <w:t>2018-2019</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582FABB9" w14:textId="77777777" w:rsidR="001802C4" w:rsidRDefault="001802C4" w:rsidP="009E2E16">
      <w:pPr>
        <w:tabs>
          <w:tab w:val="center" w:pos="4680"/>
        </w:tabs>
        <w:rPr>
          <w:b/>
          <w:sz w:val="24"/>
          <w:szCs w:val="24"/>
          <w:u w:val="single"/>
        </w:rPr>
      </w:pPr>
    </w:p>
    <w:p w14:paraId="4517F783" w14:textId="43A97D10" w:rsidR="00F01E4E" w:rsidRDefault="008A44A9" w:rsidP="009E2E16">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03A33884" w14:textId="77777777" w:rsidR="001802C4" w:rsidRDefault="001802C4" w:rsidP="009E2E16">
      <w:pPr>
        <w:tabs>
          <w:tab w:val="center" w:pos="4680"/>
        </w:tabs>
        <w:rPr>
          <w:b/>
          <w:sz w:val="24"/>
          <w:szCs w:val="24"/>
          <w:u w:val="single"/>
        </w:rPr>
      </w:pPr>
    </w:p>
    <w:p w14:paraId="437F3E12" w14:textId="37DBBB0A" w:rsidR="00BE3220" w:rsidRDefault="00BE3220" w:rsidP="009E2E16">
      <w:pPr>
        <w:tabs>
          <w:tab w:val="center" w:pos="4680"/>
        </w:tabs>
        <w:rPr>
          <w:b/>
          <w:sz w:val="24"/>
          <w:szCs w:val="24"/>
          <w:u w:val="single"/>
        </w:rPr>
      </w:pPr>
      <w:r>
        <w:rPr>
          <w:b/>
          <w:sz w:val="24"/>
          <w:szCs w:val="24"/>
          <w:u w:val="single"/>
        </w:rPr>
        <w:t xml:space="preserve">Marking Period 1 </w:t>
      </w:r>
    </w:p>
    <w:p w14:paraId="037D1E72" w14:textId="270C5E0A" w:rsidR="00BE3220" w:rsidRDefault="008D1B5E" w:rsidP="009E2E16">
      <w:pPr>
        <w:tabs>
          <w:tab w:val="center" w:pos="4680"/>
        </w:tabs>
        <w:rPr>
          <w:sz w:val="24"/>
          <w:szCs w:val="24"/>
        </w:rPr>
      </w:pPr>
      <w:r>
        <w:rPr>
          <w:sz w:val="24"/>
          <w:szCs w:val="24"/>
        </w:rPr>
        <w:t>Personal Health</w:t>
      </w:r>
    </w:p>
    <w:p w14:paraId="7BF4DEA5" w14:textId="245E58D0" w:rsidR="008D1B5E" w:rsidRPr="00BE3220" w:rsidRDefault="008D1B5E" w:rsidP="009E2E16">
      <w:pPr>
        <w:tabs>
          <w:tab w:val="center" w:pos="4680"/>
        </w:tabs>
        <w:rPr>
          <w:sz w:val="24"/>
          <w:szCs w:val="24"/>
        </w:rPr>
      </w:pPr>
      <w:r>
        <w:rPr>
          <w:sz w:val="24"/>
          <w:szCs w:val="24"/>
        </w:rPr>
        <w:t>Body Systems</w:t>
      </w:r>
    </w:p>
    <w:p w14:paraId="25F694FC" w14:textId="77777777" w:rsidR="000B5567" w:rsidRDefault="000B5567" w:rsidP="00BE3220">
      <w:pPr>
        <w:tabs>
          <w:tab w:val="center" w:pos="4680"/>
        </w:tabs>
        <w:rPr>
          <w:b/>
          <w:sz w:val="24"/>
          <w:szCs w:val="24"/>
          <w:u w:val="single"/>
        </w:rPr>
      </w:pPr>
    </w:p>
    <w:p w14:paraId="7205B016" w14:textId="12962AD9" w:rsidR="00BE3220" w:rsidRDefault="00BE3220" w:rsidP="00BE3220">
      <w:pPr>
        <w:tabs>
          <w:tab w:val="center" w:pos="4680"/>
        </w:tabs>
        <w:rPr>
          <w:b/>
          <w:sz w:val="24"/>
          <w:szCs w:val="24"/>
          <w:u w:val="single"/>
        </w:rPr>
      </w:pPr>
      <w:r>
        <w:rPr>
          <w:b/>
          <w:sz w:val="24"/>
          <w:szCs w:val="24"/>
          <w:u w:val="single"/>
        </w:rPr>
        <w:t>Marking Period 2</w:t>
      </w:r>
    </w:p>
    <w:p w14:paraId="5F41306E" w14:textId="61542048" w:rsidR="00BE3220" w:rsidRDefault="008D1B5E" w:rsidP="00BE3220">
      <w:pPr>
        <w:tabs>
          <w:tab w:val="center" w:pos="4680"/>
        </w:tabs>
        <w:rPr>
          <w:sz w:val="24"/>
          <w:szCs w:val="24"/>
        </w:rPr>
      </w:pPr>
      <w:r>
        <w:rPr>
          <w:sz w:val="24"/>
          <w:szCs w:val="24"/>
        </w:rPr>
        <w:t>N</w:t>
      </w:r>
      <w:r w:rsidR="004A24BF">
        <w:rPr>
          <w:sz w:val="24"/>
          <w:szCs w:val="24"/>
        </w:rPr>
        <w:t>utrition</w:t>
      </w:r>
    </w:p>
    <w:p w14:paraId="428328FA" w14:textId="77777777" w:rsidR="000B5567" w:rsidRDefault="000B5567" w:rsidP="00BE3220">
      <w:pPr>
        <w:tabs>
          <w:tab w:val="center" w:pos="4680"/>
        </w:tabs>
        <w:rPr>
          <w:b/>
          <w:sz w:val="24"/>
          <w:szCs w:val="24"/>
          <w:u w:val="single"/>
        </w:rPr>
      </w:pPr>
    </w:p>
    <w:p w14:paraId="62EBD04A" w14:textId="7FBE4C54" w:rsidR="00BE3220" w:rsidRDefault="00BE3220" w:rsidP="00BE3220">
      <w:pPr>
        <w:tabs>
          <w:tab w:val="center" w:pos="4680"/>
        </w:tabs>
        <w:rPr>
          <w:b/>
          <w:sz w:val="24"/>
          <w:szCs w:val="24"/>
          <w:u w:val="single"/>
        </w:rPr>
      </w:pPr>
      <w:r>
        <w:rPr>
          <w:b/>
          <w:sz w:val="24"/>
          <w:szCs w:val="24"/>
          <w:u w:val="single"/>
        </w:rPr>
        <w:t xml:space="preserve">Marking Period 3 </w:t>
      </w:r>
    </w:p>
    <w:p w14:paraId="0BA2890B" w14:textId="08575FDA" w:rsidR="00BE3220" w:rsidRDefault="004A24BF" w:rsidP="00BE3220">
      <w:pPr>
        <w:tabs>
          <w:tab w:val="center" w:pos="4680"/>
        </w:tabs>
        <w:rPr>
          <w:sz w:val="24"/>
          <w:szCs w:val="24"/>
        </w:rPr>
      </w:pPr>
      <w:r>
        <w:rPr>
          <w:sz w:val="24"/>
          <w:szCs w:val="24"/>
        </w:rPr>
        <w:t>Drugs, Alcohol, &amp; Tobacco</w:t>
      </w:r>
    </w:p>
    <w:p w14:paraId="230DAF48" w14:textId="7595984E" w:rsidR="004A24BF" w:rsidRPr="00BE3220" w:rsidRDefault="004A24BF" w:rsidP="00BE3220">
      <w:pPr>
        <w:tabs>
          <w:tab w:val="center" w:pos="4680"/>
        </w:tabs>
        <w:rPr>
          <w:sz w:val="24"/>
          <w:szCs w:val="24"/>
        </w:rPr>
      </w:pPr>
      <w:r>
        <w:rPr>
          <w:sz w:val="24"/>
          <w:szCs w:val="24"/>
        </w:rPr>
        <w:t>En</w:t>
      </w:r>
      <w:r w:rsidR="00237CBC">
        <w:rPr>
          <w:sz w:val="24"/>
          <w:szCs w:val="24"/>
        </w:rPr>
        <w:t>vironmental</w:t>
      </w:r>
      <w:r w:rsidR="003027F9">
        <w:rPr>
          <w:sz w:val="24"/>
          <w:szCs w:val="24"/>
        </w:rPr>
        <w:t xml:space="preserve"> Health</w:t>
      </w:r>
    </w:p>
    <w:p w14:paraId="5AD2516D" w14:textId="77777777" w:rsidR="000B5567" w:rsidRDefault="000B5567" w:rsidP="00BE3220">
      <w:pPr>
        <w:tabs>
          <w:tab w:val="center" w:pos="4680"/>
        </w:tabs>
        <w:rPr>
          <w:b/>
          <w:sz w:val="24"/>
          <w:szCs w:val="24"/>
          <w:u w:val="single"/>
        </w:rPr>
      </w:pPr>
    </w:p>
    <w:p w14:paraId="75701C85" w14:textId="3CC7DF67" w:rsidR="00BE3220" w:rsidRDefault="00BE3220" w:rsidP="00BE3220">
      <w:pPr>
        <w:tabs>
          <w:tab w:val="center" w:pos="4680"/>
        </w:tabs>
        <w:rPr>
          <w:b/>
          <w:sz w:val="24"/>
          <w:szCs w:val="24"/>
          <w:u w:val="single"/>
        </w:rPr>
      </w:pPr>
      <w:r>
        <w:rPr>
          <w:b/>
          <w:sz w:val="24"/>
          <w:szCs w:val="24"/>
          <w:u w:val="single"/>
        </w:rPr>
        <w:t xml:space="preserve">Marking Period 4 </w:t>
      </w:r>
    </w:p>
    <w:p w14:paraId="69031CFD" w14:textId="4C97BC5F" w:rsidR="00BE3220" w:rsidRPr="00BE3220" w:rsidRDefault="003027F9" w:rsidP="00BE3220">
      <w:pPr>
        <w:tabs>
          <w:tab w:val="center" w:pos="4680"/>
        </w:tabs>
        <w:rPr>
          <w:sz w:val="24"/>
          <w:szCs w:val="24"/>
        </w:rPr>
      </w:pPr>
      <w:r>
        <w:rPr>
          <w:sz w:val="24"/>
          <w:szCs w:val="24"/>
        </w:rPr>
        <w:t>Mental Health</w:t>
      </w:r>
    </w:p>
    <w:p w14:paraId="2D2736B1" w14:textId="77777777" w:rsidR="002E0453" w:rsidRDefault="002E0453">
      <w:pPr>
        <w:rPr>
          <w:b/>
          <w:sz w:val="24"/>
          <w:szCs w:val="24"/>
          <w:u w:val="single"/>
        </w:rPr>
      </w:pPr>
      <w:r>
        <w:rPr>
          <w:b/>
          <w:sz w:val="24"/>
          <w:szCs w:val="24"/>
          <w:u w:val="single"/>
        </w:rPr>
        <w:br w:type="page"/>
      </w:r>
    </w:p>
    <w:p w14:paraId="4F48CD1E" w14:textId="77777777" w:rsidR="00FC4D42" w:rsidRDefault="00FC4D42" w:rsidP="009E2E16">
      <w:pPr>
        <w:tabs>
          <w:tab w:val="center" w:pos="4680"/>
        </w:tabs>
        <w:rPr>
          <w:b/>
          <w:sz w:val="24"/>
          <w:szCs w:val="24"/>
          <w:u w:val="single"/>
        </w:rPr>
      </w:pPr>
    </w:p>
    <w:p w14:paraId="749DE1A0" w14:textId="2C714714" w:rsidR="00FC4D42" w:rsidRPr="006D28DA" w:rsidRDefault="00BE3220" w:rsidP="009E2E16">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50"/>
        <w:gridCol w:w="2066"/>
        <w:gridCol w:w="839"/>
      </w:tblGrid>
      <w:tr w:rsidR="008A44A9" w14:paraId="104FF57C" w14:textId="77777777" w:rsidTr="00E4504B">
        <w:trPr>
          <w:tblHeader/>
        </w:trPr>
        <w:tc>
          <w:tcPr>
            <w:tcW w:w="6450"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2066"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839" w:type="dxa"/>
            <w:tcBorders>
              <w:top w:val="single" w:sz="4" w:space="0" w:color="auto"/>
              <w:left w:val="single" w:sz="4" w:space="0" w:color="auto"/>
              <w:bottom w:val="single" w:sz="4" w:space="0" w:color="auto"/>
              <w:right w:val="single" w:sz="4" w:space="0" w:color="auto"/>
            </w:tcBorders>
          </w:tcPr>
          <w:p w14:paraId="28E5BB52" w14:textId="77777777" w:rsidR="008A44A9" w:rsidRPr="008E4A03" w:rsidRDefault="009B4BE9" w:rsidP="009E2E16">
            <w:pPr>
              <w:tabs>
                <w:tab w:val="center" w:pos="4680"/>
              </w:tabs>
              <w:rPr>
                <w:b/>
                <w:sz w:val="18"/>
                <w:szCs w:val="18"/>
              </w:rPr>
            </w:pPr>
            <w:r w:rsidRPr="008E4A03">
              <w:rPr>
                <w:b/>
                <w:sz w:val="18"/>
                <w:szCs w:val="18"/>
              </w:rPr>
              <w:t>Marking Period Taught</w:t>
            </w:r>
            <w:r w:rsidR="008A44A9" w:rsidRPr="008E4A03">
              <w:rPr>
                <w:b/>
                <w:sz w:val="18"/>
                <w:szCs w:val="18"/>
              </w:rPr>
              <w:t xml:space="preserve"> </w:t>
            </w:r>
          </w:p>
        </w:tc>
      </w:tr>
      <w:tr w:rsidR="00411762" w14:paraId="536B0899" w14:textId="77777777" w:rsidTr="00E4504B">
        <w:trPr>
          <w:trHeight w:val="440"/>
        </w:trPr>
        <w:tc>
          <w:tcPr>
            <w:tcW w:w="6450" w:type="dxa"/>
            <w:tcBorders>
              <w:top w:val="single" w:sz="4" w:space="0" w:color="auto"/>
            </w:tcBorders>
          </w:tcPr>
          <w:p w14:paraId="66894E77" w14:textId="5BA12D18" w:rsidR="00411762" w:rsidRDefault="00C83261" w:rsidP="008E4A03">
            <w:pPr>
              <w:rPr>
                <w:rFonts w:ascii="Calibri" w:hAnsi="Calibri" w:cs="Calibri"/>
                <w:color w:val="000000"/>
              </w:rPr>
            </w:pPr>
            <w:r>
              <w:t>Identify and describe the stages of growth and development.</w:t>
            </w:r>
          </w:p>
        </w:tc>
        <w:tc>
          <w:tcPr>
            <w:tcW w:w="2066" w:type="dxa"/>
            <w:tcBorders>
              <w:top w:val="single" w:sz="4" w:space="0" w:color="auto"/>
            </w:tcBorders>
            <w:vAlign w:val="center"/>
          </w:tcPr>
          <w:p w14:paraId="3C9422D1" w14:textId="0EA365DF" w:rsidR="00411762" w:rsidRDefault="00997144" w:rsidP="00411762">
            <w:pPr>
              <w:rPr>
                <w:rFonts w:ascii="Calibri" w:hAnsi="Calibri" w:cs="Calibri"/>
              </w:rPr>
            </w:pPr>
            <w:r>
              <w:t>10.1.3 Concepts of Health A</w:t>
            </w:r>
          </w:p>
        </w:tc>
        <w:tc>
          <w:tcPr>
            <w:tcW w:w="839" w:type="dxa"/>
            <w:tcBorders>
              <w:top w:val="single" w:sz="4" w:space="0" w:color="auto"/>
            </w:tcBorders>
          </w:tcPr>
          <w:p w14:paraId="1A0881DF" w14:textId="6B260F75" w:rsidR="00411762" w:rsidRPr="00E4504B" w:rsidRDefault="00E4504B" w:rsidP="00BE3220">
            <w:pPr>
              <w:tabs>
                <w:tab w:val="center" w:pos="4680"/>
              </w:tabs>
              <w:rPr>
                <w:sz w:val="20"/>
                <w:szCs w:val="20"/>
              </w:rPr>
            </w:pPr>
            <w:r w:rsidRPr="00E4504B">
              <w:rPr>
                <w:sz w:val="20"/>
                <w:szCs w:val="20"/>
              </w:rPr>
              <w:t>MP 1</w:t>
            </w:r>
          </w:p>
        </w:tc>
      </w:tr>
      <w:tr w:rsidR="00E4504B" w14:paraId="33EE2453" w14:textId="77777777" w:rsidTr="00E4504B">
        <w:tc>
          <w:tcPr>
            <w:tcW w:w="6450" w:type="dxa"/>
          </w:tcPr>
          <w:p w14:paraId="4C35C573" w14:textId="34CEFDA0" w:rsidR="00E4504B" w:rsidRDefault="00E4504B" w:rsidP="00E4504B">
            <w:pPr>
              <w:rPr>
                <w:rFonts w:ascii="Calibri" w:hAnsi="Calibri" w:cs="Calibri"/>
              </w:rPr>
            </w:pPr>
            <w:r>
              <w:t>Identify and know the location and function of the major body organs and systems.</w:t>
            </w:r>
          </w:p>
        </w:tc>
        <w:tc>
          <w:tcPr>
            <w:tcW w:w="2066" w:type="dxa"/>
            <w:vAlign w:val="center"/>
          </w:tcPr>
          <w:p w14:paraId="45E4ADE2" w14:textId="0C498658" w:rsidR="00E4504B" w:rsidRDefault="00E4504B" w:rsidP="00E4504B">
            <w:pPr>
              <w:rPr>
                <w:rFonts w:ascii="Calibri" w:hAnsi="Calibri" w:cs="Calibri"/>
              </w:rPr>
            </w:pPr>
            <w:r>
              <w:t>10.1.3 Concepts of Health B</w:t>
            </w:r>
          </w:p>
        </w:tc>
        <w:tc>
          <w:tcPr>
            <w:tcW w:w="839" w:type="dxa"/>
          </w:tcPr>
          <w:p w14:paraId="70EFA086" w14:textId="733E1334" w:rsidR="00E4504B" w:rsidRPr="00554304" w:rsidRDefault="00E4504B" w:rsidP="00E4504B">
            <w:pPr>
              <w:rPr>
                <w:sz w:val="12"/>
                <w:szCs w:val="12"/>
              </w:rPr>
            </w:pPr>
            <w:r w:rsidRPr="00CB67AA">
              <w:rPr>
                <w:sz w:val="20"/>
                <w:szCs w:val="20"/>
              </w:rPr>
              <w:t>MP 1</w:t>
            </w:r>
          </w:p>
        </w:tc>
      </w:tr>
      <w:tr w:rsidR="00E4504B" w14:paraId="68131D10" w14:textId="77777777" w:rsidTr="00E4504B">
        <w:tc>
          <w:tcPr>
            <w:tcW w:w="6450" w:type="dxa"/>
          </w:tcPr>
          <w:p w14:paraId="51F45081" w14:textId="28DA5C52" w:rsidR="00E4504B" w:rsidRDefault="00E4504B" w:rsidP="00E4504B">
            <w:pPr>
              <w:rPr>
                <w:rFonts w:ascii="Calibri" w:hAnsi="Calibri" w:cs="Calibri"/>
              </w:rPr>
            </w:pPr>
            <w:r>
              <w:t>Explain the role of the food guide pyramid in helping people eat a healthy diet.</w:t>
            </w:r>
          </w:p>
        </w:tc>
        <w:tc>
          <w:tcPr>
            <w:tcW w:w="2066" w:type="dxa"/>
            <w:vAlign w:val="center"/>
          </w:tcPr>
          <w:p w14:paraId="24C1423A" w14:textId="41955450" w:rsidR="00E4504B" w:rsidRDefault="00E4504B" w:rsidP="00E4504B">
            <w:pPr>
              <w:rPr>
                <w:rFonts w:ascii="Calibri" w:hAnsi="Calibri" w:cs="Calibri"/>
              </w:rPr>
            </w:pPr>
            <w:r>
              <w:t>10.1.3 Concepts of Health C</w:t>
            </w:r>
          </w:p>
        </w:tc>
        <w:tc>
          <w:tcPr>
            <w:tcW w:w="839" w:type="dxa"/>
          </w:tcPr>
          <w:p w14:paraId="25166AFC" w14:textId="47652CED" w:rsidR="00E4504B" w:rsidRPr="00554304" w:rsidRDefault="00E4504B" w:rsidP="00E4504B">
            <w:pPr>
              <w:rPr>
                <w:sz w:val="12"/>
                <w:szCs w:val="12"/>
              </w:rPr>
            </w:pPr>
            <w:r w:rsidRPr="00CB67AA">
              <w:rPr>
                <w:sz w:val="20"/>
                <w:szCs w:val="20"/>
              </w:rPr>
              <w:t xml:space="preserve">MP </w:t>
            </w:r>
            <w:r w:rsidR="000247D4">
              <w:rPr>
                <w:sz w:val="20"/>
                <w:szCs w:val="20"/>
              </w:rPr>
              <w:t>2</w:t>
            </w:r>
          </w:p>
        </w:tc>
      </w:tr>
      <w:tr w:rsidR="00E4504B" w14:paraId="61F7AF15" w14:textId="77777777" w:rsidTr="00E4504B">
        <w:tc>
          <w:tcPr>
            <w:tcW w:w="6450" w:type="dxa"/>
          </w:tcPr>
          <w:p w14:paraId="404ECEA5" w14:textId="1F5B096F" w:rsidR="00E4504B" w:rsidRDefault="00E4504B" w:rsidP="00E4504B">
            <w:pPr>
              <w:rPr>
                <w:rFonts w:ascii="Calibri" w:hAnsi="Calibri" w:cs="Calibri"/>
              </w:rPr>
            </w:pPr>
            <w:r>
              <w:t xml:space="preserve">Know </w:t>
            </w:r>
            <w:r>
              <w:t>age-appropriate</w:t>
            </w:r>
            <w:r>
              <w:t xml:space="preserve"> drug information.</w:t>
            </w:r>
          </w:p>
        </w:tc>
        <w:tc>
          <w:tcPr>
            <w:tcW w:w="2066" w:type="dxa"/>
            <w:vAlign w:val="center"/>
          </w:tcPr>
          <w:p w14:paraId="2A5A75FF" w14:textId="5629085E" w:rsidR="00E4504B" w:rsidRDefault="00E4504B" w:rsidP="00E4504B">
            <w:pPr>
              <w:rPr>
                <w:rFonts w:ascii="Calibri" w:hAnsi="Calibri" w:cs="Calibri"/>
              </w:rPr>
            </w:pPr>
            <w:r>
              <w:t>10.1.3 Concepts of Health D</w:t>
            </w:r>
          </w:p>
        </w:tc>
        <w:tc>
          <w:tcPr>
            <w:tcW w:w="839" w:type="dxa"/>
          </w:tcPr>
          <w:p w14:paraId="6B6D7A3F" w14:textId="3FFA4126" w:rsidR="00E4504B" w:rsidRPr="00554304" w:rsidRDefault="00E4504B" w:rsidP="00E4504B">
            <w:pPr>
              <w:rPr>
                <w:sz w:val="12"/>
                <w:szCs w:val="12"/>
              </w:rPr>
            </w:pPr>
            <w:r w:rsidRPr="00CB67AA">
              <w:rPr>
                <w:sz w:val="20"/>
                <w:szCs w:val="20"/>
              </w:rPr>
              <w:t xml:space="preserve">MP </w:t>
            </w:r>
            <w:r w:rsidR="000247D4">
              <w:rPr>
                <w:sz w:val="20"/>
                <w:szCs w:val="20"/>
              </w:rPr>
              <w:t>3</w:t>
            </w:r>
          </w:p>
        </w:tc>
      </w:tr>
      <w:tr w:rsidR="00E4504B" w14:paraId="77BDF5B1" w14:textId="77777777" w:rsidTr="00E4504B">
        <w:tc>
          <w:tcPr>
            <w:tcW w:w="6450" w:type="dxa"/>
          </w:tcPr>
          <w:p w14:paraId="76049D8E" w14:textId="5D733BB0" w:rsidR="00E4504B" w:rsidRDefault="00E4504B" w:rsidP="00E4504B">
            <w:pPr>
              <w:rPr>
                <w:rFonts w:ascii="Calibri" w:hAnsi="Calibri" w:cs="Calibri"/>
              </w:rPr>
            </w:pPr>
            <w:r>
              <w:t>Identify types and causes of common health problems of children</w:t>
            </w:r>
            <w:r>
              <w:t>.</w:t>
            </w:r>
          </w:p>
        </w:tc>
        <w:tc>
          <w:tcPr>
            <w:tcW w:w="2066" w:type="dxa"/>
            <w:vAlign w:val="center"/>
          </w:tcPr>
          <w:p w14:paraId="2A1D4421" w14:textId="7659A871" w:rsidR="00E4504B" w:rsidRDefault="00E4504B" w:rsidP="00E4504B">
            <w:pPr>
              <w:rPr>
                <w:rFonts w:ascii="Calibri" w:hAnsi="Calibri" w:cs="Calibri"/>
              </w:rPr>
            </w:pPr>
            <w:r>
              <w:t>10.1.3 Concepts of Health E</w:t>
            </w:r>
          </w:p>
        </w:tc>
        <w:tc>
          <w:tcPr>
            <w:tcW w:w="839" w:type="dxa"/>
          </w:tcPr>
          <w:p w14:paraId="5860286E" w14:textId="77777777" w:rsidR="00E4504B" w:rsidRDefault="00E4504B" w:rsidP="00E4504B">
            <w:pPr>
              <w:rPr>
                <w:sz w:val="20"/>
                <w:szCs w:val="20"/>
              </w:rPr>
            </w:pPr>
            <w:r w:rsidRPr="00CB67AA">
              <w:rPr>
                <w:sz w:val="20"/>
                <w:szCs w:val="20"/>
              </w:rPr>
              <w:t xml:space="preserve">MP </w:t>
            </w:r>
            <w:r w:rsidR="00883D7E">
              <w:rPr>
                <w:sz w:val="20"/>
                <w:szCs w:val="20"/>
              </w:rPr>
              <w:t>1</w:t>
            </w:r>
          </w:p>
          <w:p w14:paraId="6644DA49" w14:textId="44212726" w:rsidR="00883D7E" w:rsidRDefault="00883D7E" w:rsidP="00E4504B">
            <w:pPr>
              <w:rPr>
                <w:sz w:val="20"/>
                <w:szCs w:val="20"/>
              </w:rPr>
            </w:pPr>
            <w:r w:rsidRPr="00E4504B">
              <w:rPr>
                <w:sz w:val="20"/>
                <w:szCs w:val="20"/>
              </w:rPr>
              <w:t xml:space="preserve">MP </w:t>
            </w:r>
            <w:r>
              <w:rPr>
                <w:sz w:val="20"/>
                <w:szCs w:val="20"/>
              </w:rPr>
              <w:t>2</w:t>
            </w:r>
          </w:p>
          <w:p w14:paraId="7B71BEDD" w14:textId="40DB3AAF" w:rsidR="00883D7E" w:rsidRDefault="00883D7E" w:rsidP="00E4504B">
            <w:pPr>
              <w:rPr>
                <w:sz w:val="20"/>
                <w:szCs w:val="20"/>
              </w:rPr>
            </w:pPr>
            <w:r w:rsidRPr="00E4504B">
              <w:rPr>
                <w:sz w:val="20"/>
                <w:szCs w:val="20"/>
              </w:rPr>
              <w:t xml:space="preserve">MP </w:t>
            </w:r>
            <w:r>
              <w:rPr>
                <w:sz w:val="20"/>
                <w:szCs w:val="20"/>
              </w:rPr>
              <w:t>3</w:t>
            </w:r>
          </w:p>
          <w:p w14:paraId="3FCB5D10" w14:textId="520A5A0F" w:rsidR="00883D7E" w:rsidRPr="00554304" w:rsidRDefault="00883D7E" w:rsidP="00E4504B">
            <w:pPr>
              <w:rPr>
                <w:sz w:val="12"/>
                <w:szCs w:val="12"/>
              </w:rPr>
            </w:pPr>
            <w:r w:rsidRPr="00E4504B">
              <w:rPr>
                <w:sz w:val="20"/>
                <w:szCs w:val="20"/>
              </w:rPr>
              <w:t xml:space="preserve">MP </w:t>
            </w:r>
            <w:r>
              <w:rPr>
                <w:sz w:val="20"/>
                <w:szCs w:val="20"/>
              </w:rPr>
              <w:t>4</w:t>
            </w:r>
          </w:p>
        </w:tc>
      </w:tr>
      <w:tr w:rsidR="00E4504B" w14:paraId="49A62192" w14:textId="77777777" w:rsidTr="00E4504B">
        <w:tc>
          <w:tcPr>
            <w:tcW w:w="6450" w:type="dxa"/>
          </w:tcPr>
          <w:p w14:paraId="4D87810F" w14:textId="71DA4418" w:rsidR="00E4504B" w:rsidRDefault="00E4504B" w:rsidP="00E4504B">
            <w:pPr>
              <w:rPr>
                <w:rFonts w:ascii="Calibri" w:hAnsi="Calibri" w:cs="Calibri"/>
              </w:rPr>
            </w:pPr>
            <w:r>
              <w:t>Identify personal hygiene practices and community helpers that promote health and prevent the spread of disease</w:t>
            </w:r>
            <w:r>
              <w:t>.</w:t>
            </w:r>
          </w:p>
        </w:tc>
        <w:tc>
          <w:tcPr>
            <w:tcW w:w="2066" w:type="dxa"/>
            <w:vAlign w:val="center"/>
          </w:tcPr>
          <w:p w14:paraId="626EFCBB" w14:textId="04B6CB43" w:rsidR="00E4504B" w:rsidRDefault="00E4504B" w:rsidP="00E4504B">
            <w:pPr>
              <w:rPr>
                <w:rFonts w:ascii="Calibri" w:hAnsi="Calibri" w:cs="Calibri"/>
              </w:rPr>
            </w:pPr>
            <w:r>
              <w:t>10.2.3 Healthful Living A</w:t>
            </w:r>
          </w:p>
        </w:tc>
        <w:tc>
          <w:tcPr>
            <w:tcW w:w="839" w:type="dxa"/>
          </w:tcPr>
          <w:p w14:paraId="56E27B6E" w14:textId="2B98EFD0" w:rsidR="00E4504B" w:rsidRPr="00554304" w:rsidRDefault="00E4504B" w:rsidP="00E4504B">
            <w:pPr>
              <w:rPr>
                <w:sz w:val="12"/>
                <w:szCs w:val="12"/>
              </w:rPr>
            </w:pPr>
            <w:r w:rsidRPr="00CB67AA">
              <w:rPr>
                <w:sz w:val="20"/>
                <w:szCs w:val="20"/>
              </w:rPr>
              <w:t xml:space="preserve">MP </w:t>
            </w:r>
            <w:r w:rsidR="00D96AA3">
              <w:rPr>
                <w:sz w:val="20"/>
                <w:szCs w:val="20"/>
              </w:rPr>
              <w:t>1</w:t>
            </w:r>
          </w:p>
        </w:tc>
      </w:tr>
      <w:tr w:rsidR="00E4504B" w14:paraId="362FC2C2" w14:textId="77777777" w:rsidTr="00E4504B">
        <w:tc>
          <w:tcPr>
            <w:tcW w:w="6450" w:type="dxa"/>
          </w:tcPr>
          <w:p w14:paraId="0562CC7D" w14:textId="6F56D946" w:rsidR="00E4504B" w:rsidRDefault="00E4504B" w:rsidP="00E4504B">
            <w:pPr>
              <w:rPr>
                <w:rFonts w:ascii="Calibri" w:hAnsi="Calibri" w:cs="Calibri"/>
              </w:rPr>
            </w:pPr>
            <w:r>
              <w:t>Identify health-related information</w:t>
            </w:r>
            <w:r>
              <w:t>.</w:t>
            </w:r>
          </w:p>
        </w:tc>
        <w:tc>
          <w:tcPr>
            <w:tcW w:w="2066" w:type="dxa"/>
            <w:vAlign w:val="center"/>
          </w:tcPr>
          <w:p w14:paraId="3A4B80D9" w14:textId="46B86A16" w:rsidR="00E4504B" w:rsidRDefault="00E4504B" w:rsidP="00E4504B">
            <w:pPr>
              <w:rPr>
                <w:rFonts w:ascii="Calibri" w:hAnsi="Calibri" w:cs="Calibri"/>
              </w:rPr>
            </w:pPr>
            <w:r>
              <w:t>10.2.3 Healthful Living B</w:t>
            </w:r>
          </w:p>
        </w:tc>
        <w:tc>
          <w:tcPr>
            <w:tcW w:w="839" w:type="dxa"/>
          </w:tcPr>
          <w:p w14:paraId="4B272E29" w14:textId="77777777" w:rsidR="00E4504B" w:rsidRDefault="00E4504B" w:rsidP="00E4504B">
            <w:pPr>
              <w:rPr>
                <w:sz w:val="20"/>
                <w:szCs w:val="20"/>
              </w:rPr>
            </w:pPr>
            <w:r w:rsidRPr="00CB67AA">
              <w:rPr>
                <w:sz w:val="20"/>
                <w:szCs w:val="20"/>
              </w:rPr>
              <w:t xml:space="preserve">MP </w:t>
            </w:r>
            <w:r w:rsidR="00D96AA3">
              <w:rPr>
                <w:sz w:val="20"/>
                <w:szCs w:val="20"/>
              </w:rPr>
              <w:t>1</w:t>
            </w:r>
          </w:p>
          <w:p w14:paraId="7AE3168C" w14:textId="5D8895B5" w:rsidR="00D96AA3" w:rsidRDefault="00D96AA3" w:rsidP="00E4504B">
            <w:pPr>
              <w:rPr>
                <w:sz w:val="20"/>
                <w:szCs w:val="20"/>
              </w:rPr>
            </w:pPr>
            <w:r w:rsidRPr="00E4504B">
              <w:rPr>
                <w:sz w:val="20"/>
                <w:szCs w:val="20"/>
              </w:rPr>
              <w:t xml:space="preserve">MP </w:t>
            </w:r>
            <w:r>
              <w:rPr>
                <w:sz w:val="20"/>
                <w:szCs w:val="20"/>
              </w:rPr>
              <w:t>2</w:t>
            </w:r>
          </w:p>
          <w:p w14:paraId="348233C9" w14:textId="59CBA028" w:rsidR="00D96AA3" w:rsidRDefault="00D96AA3" w:rsidP="00E4504B">
            <w:pPr>
              <w:rPr>
                <w:sz w:val="20"/>
                <w:szCs w:val="20"/>
              </w:rPr>
            </w:pPr>
            <w:r w:rsidRPr="00E4504B">
              <w:rPr>
                <w:sz w:val="20"/>
                <w:szCs w:val="20"/>
              </w:rPr>
              <w:t xml:space="preserve">MP </w:t>
            </w:r>
            <w:r>
              <w:rPr>
                <w:sz w:val="20"/>
                <w:szCs w:val="20"/>
              </w:rPr>
              <w:t>3</w:t>
            </w:r>
          </w:p>
          <w:p w14:paraId="7D9AC977" w14:textId="736E8165" w:rsidR="00D96AA3" w:rsidRPr="00554304" w:rsidRDefault="00D96AA3" w:rsidP="00E4504B">
            <w:pPr>
              <w:rPr>
                <w:sz w:val="12"/>
                <w:szCs w:val="12"/>
              </w:rPr>
            </w:pPr>
            <w:r w:rsidRPr="00E4504B">
              <w:rPr>
                <w:sz w:val="20"/>
                <w:szCs w:val="20"/>
              </w:rPr>
              <w:t xml:space="preserve">MP </w:t>
            </w:r>
            <w:r>
              <w:rPr>
                <w:sz w:val="20"/>
                <w:szCs w:val="20"/>
              </w:rPr>
              <w:t>4</w:t>
            </w:r>
          </w:p>
        </w:tc>
      </w:tr>
      <w:tr w:rsidR="00E4504B" w:rsidRPr="00AA05C3" w14:paraId="606AC3EB" w14:textId="77777777" w:rsidTr="00E4504B">
        <w:tc>
          <w:tcPr>
            <w:tcW w:w="6450" w:type="dxa"/>
          </w:tcPr>
          <w:p w14:paraId="614F4EF0" w14:textId="4463F23A" w:rsidR="00E4504B" w:rsidRDefault="00E4504B" w:rsidP="00E4504B">
            <w:pPr>
              <w:rPr>
                <w:rFonts w:ascii="Calibri" w:hAnsi="Calibri" w:cs="Calibri"/>
              </w:rPr>
            </w:pPr>
            <w:r>
              <w:t>Identify media sources that influence health and safety.</w:t>
            </w:r>
          </w:p>
        </w:tc>
        <w:tc>
          <w:tcPr>
            <w:tcW w:w="2066" w:type="dxa"/>
            <w:vAlign w:val="center"/>
          </w:tcPr>
          <w:p w14:paraId="3A942B73" w14:textId="41D521E0" w:rsidR="00E4504B" w:rsidRDefault="00E4504B" w:rsidP="00E4504B">
            <w:pPr>
              <w:rPr>
                <w:rFonts w:ascii="Calibri" w:hAnsi="Calibri" w:cs="Calibri"/>
              </w:rPr>
            </w:pPr>
            <w:r>
              <w:t>10.2.3 Healthful Living C</w:t>
            </w:r>
          </w:p>
        </w:tc>
        <w:tc>
          <w:tcPr>
            <w:tcW w:w="839" w:type="dxa"/>
          </w:tcPr>
          <w:p w14:paraId="626386E7" w14:textId="77777777" w:rsidR="00D96AA3" w:rsidRDefault="00D96AA3" w:rsidP="00D96AA3">
            <w:pPr>
              <w:rPr>
                <w:sz w:val="20"/>
                <w:szCs w:val="20"/>
              </w:rPr>
            </w:pPr>
            <w:r w:rsidRPr="00CB67AA">
              <w:rPr>
                <w:sz w:val="20"/>
                <w:szCs w:val="20"/>
              </w:rPr>
              <w:t xml:space="preserve">MP </w:t>
            </w:r>
            <w:r>
              <w:rPr>
                <w:sz w:val="20"/>
                <w:szCs w:val="20"/>
              </w:rPr>
              <w:t>1</w:t>
            </w:r>
          </w:p>
          <w:p w14:paraId="1F3B3605" w14:textId="77777777" w:rsidR="00D96AA3" w:rsidRDefault="00D96AA3" w:rsidP="00D96AA3">
            <w:pPr>
              <w:rPr>
                <w:sz w:val="20"/>
                <w:szCs w:val="20"/>
              </w:rPr>
            </w:pPr>
            <w:r w:rsidRPr="00E4504B">
              <w:rPr>
                <w:sz w:val="20"/>
                <w:szCs w:val="20"/>
              </w:rPr>
              <w:t xml:space="preserve">MP </w:t>
            </w:r>
            <w:r>
              <w:rPr>
                <w:sz w:val="20"/>
                <w:szCs w:val="20"/>
              </w:rPr>
              <w:t>2</w:t>
            </w:r>
          </w:p>
          <w:p w14:paraId="3D941916" w14:textId="77777777" w:rsidR="00D96AA3" w:rsidRDefault="00D96AA3" w:rsidP="00D96AA3">
            <w:pPr>
              <w:rPr>
                <w:sz w:val="20"/>
                <w:szCs w:val="20"/>
              </w:rPr>
            </w:pPr>
            <w:r w:rsidRPr="00E4504B">
              <w:rPr>
                <w:sz w:val="20"/>
                <w:szCs w:val="20"/>
              </w:rPr>
              <w:t xml:space="preserve">MP </w:t>
            </w:r>
            <w:r>
              <w:rPr>
                <w:sz w:val="20"/>
                <w:szCs w:val="20"/>
              </w:rPr>
              <w:t>3</w:t>
            </w:r>
          </w:p>
          <w:p w14:paraId="6153A195" w14:textId="75932E77" w:rsidR="00E4504B" w:rsidRPr="00554304" w:rsidRDefault="00D96AA3" w:rsidP="00D96AA3">
            <w:pPr>
              <w:rPr>
                <w:sz w:val="12"/>
                <w:szCs w:val="12"/>
              </w:rPr>
            </w:pPr>
            <w:r w:rsidRPr="00E4504B">
              <w:rPr>
                <w:sz w:val="20"/>
                <w:szCs w:val="20"/>
              </w:rPr>
              <w:t xml:space="preserve">MP </w:t>
            </w:r>
            <w:r>
              <w:rPr>
                <w:sz w:val="20"/>
                <w:szCs w:val="20"/>
              </w:rPr>
              <w:t>4</w:t>
            </w:r>
          </w:p>
        </w:tc>
      </w:tr>
      <w:tr w:rsidR="00E4504B" w:rsidRPr="00AA05C3" w14:paraId="7C7190C8" w14:textId="77777777" w:rsidTr="00E4504B">
        <w:tc>
          <w:tcPr>
            <w:tcW w:w="6450" w:type="dxa"/>
          </w:tcPr>
          <w:p w14:paraId="7AEAF2B2" w14:textId="6621B49B" w:rsidR="00E4504B" w:rsidRDefault="00E4504B" w:rsidP="00E4504B">
            <w:pPr>
              <w:rPr>
                <w:rFonts w:ascii="Calibri" w:hAnsi="Calibri" w:cs="Calibri"/>
              </w:rPr>
            </w:pPr>
            <w:r>
              <w:t>Identify the steps in a decision-making process.</w:t>
            </w:r>
          </w:p>
        </w:tc>
        <w:tc>
          <w:tcPr>
            <w:tcW w:w="2066" w:type="dxa"/>
            <w:vAlign w:val="center"/>
          </w:tcPr>
          <w:p w14:paraId="226D9F30" w14:textId="13539DAE" w:rsidR="00E4504B" w:rsidRDefault="00E4504B" w:rsidP="00E4504B">
            <w:pPr>
              <w:rPr>
                <w:rFonts w:ascii="Calibri" w:hAnsi="Calibri" w:cs="Calibri"/>
              </w:rPr>
            </w:pPr>
            <w:r>
              <w:t>10.2.3 Healthful Living D</w:t>
            </w:r>
          </w:p>
        </w:tc>
        <w:tc>
          <w:tcPr>
            <w:tcW w:w="839" w:type="dxa"/>
          </w:tcPr>
          <w:p w14:paraId="6280A61D" w14:textId="56C7141B" w:rsidR="00E4504B" w:rsidRPr="00554304" w:rsidRDefault="00E4504B" w:rsidP="00E4504B">
            <w:pPr>
              <w:rPr>
                <w:sz w:val="12"/>
                <w:szCs w:val="12"/>
              </w:rPr>
            </w:pPr>
            <w:r w:rsidRPr="00CB67AA">
              <w:rPr>
                <w:sz w:val="20"/>
                <w:szCs w:val="20"/>
              </w:rPr>
              <w:t xml:space="preserve">MP </w:t>
            </w:r>
            <w:r w:rsidR="0081590B">
              <w:rPr>
                <w:sz w:val="20"/>
                <w:szCs w:val="20"/>
              </w:rPr>
              <w:t>1</w:t>
            </w:r>
          </w:p>
        </w:tc>
      </w:tr>
      <w:tr w:rsidR="00E4504B" w:rsidRPr="00AA05C3" w14:paraId="398364C6" w14:textId="77777777" w:rsidTr="00E4504B">
        <w:tc>
          <w:tcPr>
            <w:tcW w:w="6450" w:type="dxa"/>
          </w:tcPr>
          <w:p w14:paraId="2BCC383A" w14:textId="6BDC9A92" w:rsidR="00E4504B" w:rsidRDefault="00E4504B" w:rsidP="00E4504B">
            <w:pPr>
              <w:rPr>
                <w:rFonts w:ascii="Calibri" w:hAnsi="Calibri" w:cs="Calibri"/>
              </w:rPr>
            </w:pPr>
            <w:r>
              <w:t>Identify environmental factors that affect health.</w:t>
            </w:r>
          </w:p>
        </w:tc>
        <w:tc>
          <w:tcPr>
            <w:tcW w:w="2066" w:type="dxa"/>
            <w:vAlign w:val="center"/>
          </w:tcPr>
          <w:p w14:paraId="5495CE61" w14:textId="760D082B" w:rsidR="00E4504B" w:rsidRDefault="00E4504B" w:rsidP="00E4504B">
            <w:pPr>
              <w:rPr>
                <w:rFonts w:ascii="Calibri" w:hAnsi="Calibri" w:cs="Calibri"/>
              </w:rPr>
            </w:pPr>
            <w:r>
              <w:t>10.2.3 Healthful Living E</w:t>
            </w:r>
          </w:p>
        </w:tc>
        <w:tc>
          <w:tcPr>
            <w:tcW w:w="839" w:type="dxa"/>
          </w:tcPr>
          <w:p w14:paraId="121B39C1" w14:textId="2E5B424D" w:rsidR="00E4504B" w:rsidRPr="00554304" w:rsidRDefault="00E4504B" w:rsidP="00E4504B">
            <w:pPr>
              <w:rPr>
                <w:sz w:val="12"/>
                <w:szCs w:val="12"/>
              </w:rPr>
            </w:pPr>
            <w:r w:rsidRPr="00CB67AA">
              <w:rPr>
                <w:sz w:val="20"/>
                <w:szCs w:val="20"/>
              </w:rPr>
              <w:t xml:space="preserve">MP </w:t>
            </w:r>
            <w:r w:rsidR="0081590B">
              <w:rPr>
                <w:sz w:val="20"/>
                <w:szCs w:val="20"/>
              </w:rPr>
              <w:t>3</w:t>
            </w:r>
          </w:p>
        </w:tc>
      </w:tr>
      <w:tr w:rsidR="00E4504B" w:rsidRPr="00AA05C3" w14:paraId="09AAE22F" w14:textId="77777777" w:rsidTr="00E4504B">
        <w:tc>
          <w:tcPr>
            <w:tcW w:w="6450" w:type="dxa"/>
          </w:tcPr>
          <w:p w14:paraId="00BDDA99" w14:textId="40AAEF56" w:rsidR="00E4504B" w:rsidRDefault="00E4504B" w:rsidP="00E4504B">
            <w:pPr>
              <w:rPr>
                <w:rFonts w:ascii="Calibri" w:hAnsi="Calibri" w:cs="Calibri"/>
              </w:rPr>
            </w:pPr>
            <w:r>
              <w:t xml:space="preserve">Recognize safe/unsafe practices in the home, </w:t>
            </w:r>
            <w:r>
              <w:t>school,</w:t>
            </w:r>
            <w:r>
              <w:t xml:space="preserve"> and community</w:t>
            </w:r>
          </w:p>
        </w:tc>
        <w:tc>
          <w:tcPr>
            <w:tcW w:w="2066" w:type="dxa"/>
            <w:vAlign w:val="center"/>
          </w:tcPr>
          <w:p w14:paraId="0E77CAD2" w14:textId="522EBFA1" w:rsidR="00E4504B" w:rsidRDefault="00E4504B" w:rsidP="00E4504B">
            <w:pPr>
              <w:rPr>
                <w:rFonts w:ascii="Calibri" w:hAnsi="Calibri" w:cs="Calibri"/>
              </w:rPr>
            </w:pPr>
            <w:r>
              <w:t xml:space="preserve">10.3.3 Safety </w:t>
            </w:r>
            <w:r>
              <w:t xml:space="preserve">&amp; </w:t>
            </w:r>
            <w:r>
              <w:t>Injury Prevention A</w:t>
            </w:r>
          </w:p>
        </w:tc>
        <w:tc>
          <w:tcPr>
            <w:tcW w:w="839" w:type="dxa"/>
          </w:tcPr>
          <w:p w14:paraId="127FE43E" w14:textId="77777777" w:rsidR="0081590B" w:rsidRDefault="0081590B" w:rsidP="0081590B">
            <w:pPr>
              <w:rPr>
                <w:sz w:val="20"/>
                <w:szCs w:val="20"/>
              </w:rPr>
            </w:pPr>
            <w:r w:rsidRPr="00CB67AA">
              <w:rPr>
                <w:sz w:val="20"/>
                <w:szCs w:val="20"/>
              </w:rPr>
              <w:t xml:space="preserve">MP </w:t>
            </w:r>
            <w:r>
              <w:rPr>
                <w:sz w:val="20"/>
                <w:szCs w:val="20"/>
              </w:rPr>
              <w:t>1</w:t>
            </w:r>
          </w:p>
          <w:p w14:paraId="4F63CEB4" w14:textId="77777777" w:rsidR="0081590B" w:rsidRDefault="0081590B" w:rsidP="0081590B">
            <w:pPr>
              <w:rPr>
                <w:sz w:val="20"/>
                <w:szCs w:val="20"/>
              </w:rPr>
            </w:pPr>
            <w:r w:rsidRPr="00E4504B">
              <w:rPr>
                <w:sz w:val="20"/>
                <w:szCs w:val="20"/>
              </w:rPr>
              <w:t xml:space="preserve">MP </w:t>
            </w:r>
            <w:r>
              <w:rPr>
                <w:sz w:val="20"/>
                <w:szCs w:val="20"/>
              </w:rPr>
              <w:t>2</w:t>
            </w:r>
          </w:p>
          <w:p w14:paraId="42FDA15D" w14:textId="77777777" w:rsidR="0081590B" w:rsidRDefault="0081590B" w:rsidP="0081590B">
            <w:pPr>
              <w:rPr>
                <w:sz w:val="20"/>
                <w:szCs w:val="20"/>
              </w:rPr>
            </w:pPr>
            <w:r w:rsidRPr="00E4504B">
              <w:rPr>
                <w:sz w:val="20"/>
                <w:szCs w:val="20"/>
              </w:rPr>
              <w:t xml:space="preserve">MP </w:t>
            </w:r>
            <w:r>
              <w:rPr>
                <w:sz w:val="20"/>
                <w:szCs w:val="20"/>
              </w:rPr>
              <w:t>3</w:t>
            </w:r>
          </w:p>
          <w:p w14:paraId="24AC865A" w14:textId="17243BB0" w:rsidR="00E4504B" w:rsidRPr="00554304" w:rsidRDefault="0081590B" w:rsidP="0081590B">
            <w:pPr>
              <w:rPr>
                <w:sz w:val="12"/>
                <w:szCs w:val="12"/>
              </w:rPr>
            </w:pPr>
            <w:r w:rsidRPr="00E4504B">
              <w:rPr>
                <w:sz w:val="20"/>
                <w:szCs w:val="20"/>
              </w:rPr>
              <w:t xml:space="preserve">MP </w:t>
            </w:r>
            <w:r>
              <w:rPr>
                <w:sz w:val="20"/>
                <w:szCs w:val="20"/>
              </w:rPr>
              <w:t>4</w:t>
            </w:r>
          </w:p>
        </w:tc>
      </w:tr>
      <w:tr w:rsidR="00E4504B" w:rsidRPr="00AA05C3" w14:paraId="2258B6AB" w14:textId="77777777" w:rsidTr="00E4504B">
        <w:tc>
          <w:tcPr>
            <w:tcW w:w="6450" w:type="dxa"/>
          </w:tcPr>
          <w:p w14:paraId="7BB3D8BC" w14:textId="6BC131C8" w:rsidR="00E4504B" w:rsidRDefault="00E4504B" w:rsidP="00E4504B">
            <w:pPr>
              <w:rPr>
                <w:rFonts w:ascii="Calibri" w:hAnsi="Calibri" w:cs="Calibri"/>
              </w:rPr>
            </w:pPr>
            <w:r>
              <w:t>Recognize emergency situations and explain appropriate responses.</w:t>
            </w:r>
          </w:p>
        </w:tc>
        <w:tc>
          <w:tcPr>
            <w:tcW w:w="2066" w:type="dxa"/>
            <w:vAlign w:val="center"/>
          </w:tcPr>
          <w:p w14:paraId="3D8E9A92" w14:textId="5EA11A96" w:rsidR="00E4504B" w:rsidRDefault="00E4504B" w:rsidP="00E4504B">
            <w:pPr>
              <w:rPr>
                <w:rFonts w:ascii="Calibri" w:hAnsi="Calibri" w:cs="Calibri"/>
              </w:rPr>
            </w:pPr>
            <w:r>
              <w:t xml:space="preserve">10.3.3 Safety </w:t>
            </w:r>
            <w:r>
              <w:t xml:space="preserve">&amp; </w:t>
            </w:r>
            <w:r>
              <w:t>Injury Prevention B</w:t>
            </w:r>
          </w:p>
        </w:tc>
        <w:tc>
          <w:tcPr>
            <w:tcW w:w="839" w:type="dxa"/>
          </w:tcPr>
          <w:p w14:paraId="22CCB56C" w14:textId="2273B767" w:rsidR="006E1E93" w:rsidRPr="006E1E93" w:rsidRDefault="00E4504B" w:rsidP="00E4504B">
            <w:pPr>
              <w:rPr>
                <w:sz w:val="20"/>
                <w:szCs w:val="20"/>
              </w:rPr>
            </w:pPr>
            <w:r w:rsidRPr="00CB67AA">
              <w:rPr>
                <w:sz w:val="20"/>
                <w:szCs w:val="20"/>
              </w:rPr>
              <w:t xml:space="preserve">MP </w:t>
            </w:r>
            <w:r w:rsidR="006E1E93">
              <w:rPr>
                <w:sz w:val="20"/>
                <w:szCs w:val="20"/>
              </w:rPr>
              <w:t>3 MP 4</w:t>
            </w:r>
          </w:p>
        </w:tc>
      </w:tr>
      <w:tr w:rsidR="00E4504B" w:rsidRPr="00AA05C3" w14:paraId="434508B7" w14:textId="77777777" w:rsidTr="00E4504B">
        <w:tc>
          <w:tcPr>
            <w:tcW w:w="6450" w:type="dxa"/>
          </w:tcPr>
          <w:p w14:paraId="40648E12" w14:textId="2684083A" w:rsidR="00E4504B" w:rsidRDefault="00E4504B" w:rsidP="00E4504B">
            <w:pPr>
              <w:rPr>
                <w:rFonts w:ascii="Calibri" w:hAnsi="Calibri" w:cs="Calibri"/>
              </w:rPr>
            </w:pPr>
            <w:r>
              <w:t>Recognize conflict situations and identify strategies to avoid or resolve.</w:t>
            </w:r>
          </w:p>
        </w:tc>
        <w:tc>
          <w:tcPr>
            <w:tcW w:w="2066" w:type="dxa"/>
            <w:vAlign w:val="center"/>
          </w:tcPr>
          <w:p w14:paraId="6CAB1B1C" w14:textId="11BDCE05" w:rsidR="00E4504B" w:rsidRDefault="00E4504B" w:rsidP="00E4504B">
            <w:pPr>
              <w:rPr>
                <w:rFonts w:ascii="Calibri" w:hAnsi="Calibri" w:cs="Calibri"/>
              </w:rPr>
            </w:pPr>
            <w:r>
              <w:t xml:space="preserve">10.3.3 Safety </w:t>
            </w:r>
            <w:r>
              <w:t xml:space="preserve">&amp; </w:t>
            </w:r>
            <w:r>
              <w:t>Injury Prevention C</w:t>
            </w:r>
          </w:p>
        </w:tc>
        <w:tc>
          <w:tcPr>
            <w:tcW w:w="839" w:type="dxa"/>
          </w:tcPr>
          <w:p w14:paraId="7B3BE174" w14:textId="7DDFCE58" w:rsidR="00E4504B" w:rsidRPr="00554304" w:rsidRDefault="00AC2F62" w:rsidP="00E4504B">
            <w:pPr>
              <w:rPr>
                <w:sz w:val="12"/>
                <w:szCs w:val="12"/>
              </w:rPr>
            </w:pPr>
            <w:r w:rsidRPr="00CB67AA">
              <w:rPr>
                <w:sz w:val="20"/>
                <w:szCs w:val="20"/>
              </w:rPr>
              <w:t xml:space="preserve">MP </w:t>
            </w:r>
            <w:r>
              <w:rPr>
                <w:sz w:val="20"/>
                <w:szCs w:val="20"/>
              </w:rPr>
              <w:t>3 MP 4</w:t>
            </w:r>
          </w:p>
        </w:tc>
      </w:tr>
    </w:tbl>
    <w:p w14:paraId="03C632D0" w14:textId="77777777" w:rsidR="00C7166A" w:rsidRDefault="00C7166A" w:rsidP="00E965D0">
      <w:pPr>
        <w:tabs>
          <w:tab w:val="left" w:pos="3231"/>
        </w:tabs>
        <w:rPr>
          <w:b/>
          <w:sz w:val="24"/>
          <w:szCs w:val="24"/>
          <w:u w:val="single"/>
        </w:rPr>
      </w:pPr>
    </w:p>
    <w:p w14:paraId="1A4BC34D" w14:textId="77777777" w:rsidR="00AC2F62" w:rsidRDefault="00AC2F62" w:rsidP="00E965D0">
      <w:pPr>
        <w:tabs>
          <w:tab w:val="left" w:pos="3231"/>
        </w:tabs>
        <w:rPr>
          <w:b/>
          <w:sz w:val="24"/>
          <w:szCs w:val="24"/>
          <w:u w:val="single"/>
        </w:rPr>
      </w:pPr>
    </w:p>
    <w:p w14:paraId="1E8FA464" w14:textId="77777777" w:rsidR="00AC2F62" w:rsidRDefault="00AC2F62" w:rsidP="00E965D0">
      <w:pPr>
        <w:tabs>
          <w:tab w:val="left" w:pos="3231"/>
        </w:tabs>
        <w:rPr>
          <w:b/>
          <w:sz w:val="24"/>
          <w:szCs w:val="24"/>
          <w:u w:val="single"/>
        </w:rPr>
      </w:pPr>
    </w:p>
    <w:p w14:paraId="77DC1E53" w14:textId="77777777" w:rsidR="00AC2F62" w:rsidRDefault="00AC2F62" w:rsidP="00E965D0">
      <w:pPr>
        <w:tabs>
          <w:tab w:val="left" w:pos="3231"/>
        </w:tabs>
        <w:rPr>
          <w:b/>
          <w:sz w:val="24"/>
          <w:szCs w:val="24"/>
          <w:u w:val="single"/>
        </w:rPr>
      </w:pPr>
    </w:p>
    <w:p w14:paraId="468A5254" w14:textId="77777777" w:rsidR="00AC2F62" w:rsidRDefault="00AC2F62" w:rsidP="00E965D0">
      <w:pPr>
        <w:tabs>
          <w:tab w:val="left" w:pos="3231"/>
        </w:tabs>
        <w:rPr>
          <w:b/>
          <w:sz w:val="24"/>
          <w:szCs w:val="24"/>
          <w:u w:val="single"/>
        </w:rPr>
      </w:pPr>
    </w:p>
    <w:p w14:paraId="65980CC8" w14:textId="10C09113"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471A3571" w:rsidR="00D870F7" w:rsidRPr="005B3B39" w:rsidRDefault="00D870F7" w:rsidP="00D870F7">
      <w:pPr>
        <w:tabs>
          <w:tab w:val="center" w:pos="4680"/>
        </w:tabs>
        <w:ind w:left="180"/>
      </w:pPr>
      <w:r w:rsidRPr="006D28DA">
        <w:rPr>
          <w:b/>
        </w:rPr>
        <w:t>Effective formative assessments for</w:t>
      </w:r>
      <w:r w:rsidR="00F25C8E">
        <w:rPr>
          <w:b/>
        </w:rPr>
        <w:t xml:space="preserve"> this course </w:t>
      </w:r>
      <w:proofErr w:type="gramStart"/>
      <w:r w:rsidR="00F25C8E">
        <w:rPr>
          <w:b/>
        </w:rPr>
        <w:t>include:</w:t>
      </w:r>
      <w:proofErr w:type="gramEnd"/>
      <w:r w:rsidR="004B2601">
        <w:rPr>
          <w:b/>
        </w:rPr>
        <w:t xml:space="preserve"> </w:t>
      </w:r>
      <w:r w:rsidR="004B2601">
        <w:t>Class Participation, Teacher Observation.</w:t>
      </w: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35FC0F1A" w:rsidR="008D65B0" w:rsidRDefault="00D870F7" w:rsidP="001D4B68">
      <w:pPr>
        <w:tabs>
          <w:tab w:val="center" w:pos="4680"/>
        </w:tabs>
        <w:ind w:left="180"/>
      </w:pPr>
      <w:r w:rsidRPr="006D28DA">
        <w:rPr>
          <w:b/>
        </w:rPr>
        <w:t>Effective summative asses</w:t>
      </w:r>
      <w:r w:rsidR="00F25C8E">
        <w:rPr>
          <w:b/>
        </w:rPr>
        <w:t xml:space="preserve">sments for this course </w:t>
      </w:r>
      <w:proofErr w:type="gramStart"/>
      <w:r w:rsidR="00F25C8E">
        <w:rPr>
          <w:b/>
        </w:rPr>
        <w:t>include:</w:t>
      </w:r>
      <w:proofErr w:type="gramEnd"/>
      <w:r w:rsidR="004B2601">
        <w:rPr>
          <w:b/>
        </w:rPr>
        <w:t xml:space="preserve"> </w:t>
      </w:r>
      <w:r w:rsidR="004B2601">
        <w:t>Projects, Quizzes, Tests, and Written Assignments</w:t>
      </w:r>
    </w:p>
    <w:sectPr w:rsidR="008D65B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AF6C2" w14:textId="77777777" w:rsidR="00681354" w:rsidRDefault="00681354" w:rsidP="005F535D">
      <w:pPr>
        <w:spacing w:after="0" w:line="240" w:lineRule="auto"/>
      </w:pPr>
      <w:r>
        <w:separator/>
      </w:r>
    </w:p>
  </w:endnote>
  <w:endnote w:type="continuationSeparator" w:id="0">
    <w:p w14:paraId="7AB44A29" w14:textId="77777777" w:rsidR="00681354" w:rsidRDefault="00681354"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C0E8" w14:textId="77777777" w:rsidR="00681354" w:rsidRDefault="00681354" w:rsidP="005F535D">
      <w:pPr>
        <w:spacing w:after="0" w:line="240" w:lineRule="auto"/>
      </w:pPr>
      <w:r>
        <w:separator/>
      </w:r>
    </w:p>
  </w:footnote>
  <w:footnote w:type="continuationSeparator" w:id="0">
    <w:p w14:paraId="4C0EBF22" w14:textId="77777777" w:rsidR="00681354" w:rsidRDefault="00681354"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247D4"/>
    <w:rsid w:val="000B1463"/>
    <w:rsid w:val="000B542D"/>
    <w:rsid w:val="000B5567"/>
    <w:rsid w:val="000F7DF6"/>
    <w:rsid w:val="001445F7"/>
    <w:rsid w:val="001802C4"/>
    <w:rsid w:val="001D4B68"/>
    <w:rsid w:val="001D6D3F"/>
    <w:rsid w:val="001F3157"/>
    <w:rsid w:val="00222BAF"/>
    <w:rsid w:val="00233FF6"/>
    <w:rsid w:val="00237CBC"/>
    <w:rsid w:val="002872D0"/>
    <w:rsid w:val="002D7128"/>
    <w:rsid w:val="002D7708"/>
    <w:rsid w:val="002E0453"/>
    <w:rsid w:val="002E4B5B"/>
    <w:rsid w:val="003027F9"/>
    <w:rsid w:val="00351FC1"/>
    <w:rsid w:val="0037005B"/>
    <w:rsid w:val="003748AD"/>
    <w:rsid w:val="003877B5"/>
    <w:rsid w:val="003E27C4"/>
    <w:rsid w:val="003F35A5"/>
    <w:rsid w:val="00411762"/>
    <w:rsid w:val="00416C75"/>
    <w:rsid w:val="00472373"/>
    <w:rsid w:val="00477969"/>
    <w:rsid w:val="004A24BF"/>
    <w:rsid w:val="004B2601"/>
    <w:rsid w:val="004B6576"/>
    <w:rsid w:val="004C138F"/>
    <w:rsid w:val="004D0DDC"/>
    <w:rsid w:val="004F0DFA"/>
    <w:rsid w:val="00534B67"/>
    <w:rsid w:val="00534C45"/>
    <w:rsid w:val="00554304"/>
    <w:rsid w:val="005B3B39"/>
    <w:rsid w:val="005B6272"/>
    <w:rsid w:val="005C6230"/>
    <w:rsid w:val="005F00CA"/>
    <w:rsid w:val="005F535D"/>
    <w:rsid w:val="00615DC6"/>
    <w:rsid w:val="00642A3E"/>
    <w:rsid w:val="006673BF"/>
    <w:rsid w:val="00681354"/>
    <w:rsid w:val="006B7B66"/>
    <w:rsid w:val="006D28DA"/>
    <w:rsid w:val="006D4C30"/>
    <w:rsid w:val="006E1E93"/>
    <w:rsid w:val="007429F8"/>
    <w:rsid w:val="00772B43"/>
    <w:rsid w:val="007870C3"/>
    <w:rsid w:val="007A30D0"/>
    <w:rsid w:val="007D0A7F"/>
    <w:rsid w:val="007D3C02"/>
    <w:rsid w:val="00801417"/>
    <w:rsid w:val="0081590B"/>
    <w:rsid w:val="00883D7E"/>
    <w:rsid w:val="00886D86"/>
    <w:rsid w:val="008A3F75"/>
    <w:rsid w:val="008A44A9"/>
    <w:rsid w:val="008D1B5E"/>
    <w:rsid w:val="008D65B0"/>
    <w:rsid w:val="008E4A03"/>
    <w:rsid w:val="008E6BE6"/>
    <w:rsid w:val="009444EA"/>
    <w:rsid w:val="00951201"/>
    <w:rsid w:val="009566D5"/>
    <w:rsid w:val="00972718"/>
    <w:rsid w:val="00987387"/>
    <w:rsid w:val="00997144"/>
    <w:rsid w:val="009B4BE9"/>
    <w:rsid w:val="009D193A"/>
    <w:rsid w:val="009E2E16"/>
    <w:rsid w:val="00A02591"/>
    <w:rsid w:val="00A34946"/>
    <w:rsid w:val="00A56935"/>
    <w:rsid w:val="00A71E18"/>
    <w:rsid w:val="00AA05C3"/>
    <w:rsid w:val="00AA0DFB"/>
    <w:rsid w:val="00AA162D"/>
    <w:rsid w:val="00AC2F62"/>
    <w:rsid w:val="00AD6B2C"/>
    <w:rsid w:val="00AE550C"/>
    <w:rsid w:val="00B1125C"/>
    <w:rsid w:val="00B279DB"/>
    <w:rsid w:val="00B3625C"/>
    <w:rsid w:val="00B542EF"/>
    <w:rsid w:val="00B7632E"/>
    <w:rsid w:val="00BD09E4"/>
    <w:rsid w:val="00BE3220"/>
    <w:rsid w:val="00C040F8"/>
    <w:rsid w:val="00C06854"/>
    <w:rsid w:val="00C11365"/>
    <w:rsid w:val="00C436ED"/>
    <w:rsid w:val="00C7166A"/>
    <w:rsid w:val="00C83261"/>
    <w:rsid w:val="00C952EB"/>
    <w:rsid w:val="00CB58A0"/>
    <w:rsid w:val="00CE7B74"/>
    <w:rsid w:val="00D07C92"/>
    <w:rsid w:val="00D621F2"/>
    <w:rsid w:val="00D70673"/>
    <w:rsid w:val="00D870F7"/>
    <w:rsid w:val="00D96AA3"/>
    <w:rsid w:val="00DA69F9"/>
    <w:rsid w:val="00DB35FF"/>
    <w:rsid w:val="00DE6A8D"/>
    <w:rsid w:val="00E313E4"/>
    <w:rsid w:val="00E352C5"/>
    <w:rsid w:val="00E4504B"/>
    <w:rsid w:val="00E629A6"/>
    <w:rsid w:val="00E63B2A"/>
    <w:rsid w:val="00E965D0"/>
    <w:rsid w:val="00EB741C"/>
    <w:rsid w:val="00EC6AE2"/>
    <w:rsid w:val="00EE0A38"/>
    <w:rsid w:val="00F01E4E"/>
    <w:rsid w:val="00F25C8E"/>
    <w:rsid w:val="00F56231"/>
    <w:rsid w:val="00F6134C"/>
    <w:rsid w:val="00FA0B75"/>
    <w:rsid w:val="00FC4D42"/>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ces.ed.gov/forum/sced.asp" TargetMode="External"/><Relationship Id="rId4" Type="http://schemas.openxmlformats.org/officeDocument/2006/relationships/styles" Target="styles.xml"/><Relationship Id="rId9" Type="http://schemas.openxmlformats.org/officeDocument/2006/relationships/hyperlink" Target="https://www.education.pa.gov/Educators/Certification/Staffing%20Guidelines/Pages/default.asp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1C6AA1"/>
    <w:rsid w:val="002B1852"/>
    <w:rsid w:val="002D7128"/>
    <w:rsid w:val="00413589"/>
    <w:rsid w:val="004B6576"/>
    <w:rsid w:val="004D62F1"/>
    <w:rsid w:val="00772B43"/>
    <w:rsid w:val="007E0331"/>
    <w:rsid w:val="00830859"/>
    <w:rsid w:val="00A34946"/>
    <w:rsid w:val="00A75108"/>
    <w:rsid w:val="00AB21B6"/>
    <w:rsid w:val="00C2078C"/>
    <w:rsid w:val="00C22C5A"/>
    <w:rsid w:val="00CB58A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425a422a-90e2-473e-a3d9-52d83dba9511" xsi:nil="true"/>
    <Math_Settings xmlns="425a422a-90e2-473e-a3d9-52d83dba9511" xsi:nil="true"/>
    <Owner xmlns="425a422a-90e2-473e-a3d9-52d83dba9511">
      <UserInfo>
        <DisplayName/>
        <AccountId xsi:nil="true"/>
        <AccountType/>
      </UserInfo>
    </Owner>
    <Distribution_Groups xmlns="425a422a-90e2-473e-a3d9-52d83dba9511" xsi:nil="true"/>
    <Invited_Students xmlns="425a422a-90e2-473e-a3d9-52d83dba9511" xsi:nil="true"/>
    <DefaultSectionNames xmlns="425a422a-90e2-473e-a3d9-52d83dba9511" xsi:nil="true"/>
    <FolderType xmlns="425a422a-90e2-473e-a3d9-52d83dba9511" xsi:nil="true"/>
    <Student_Groups xmlns="425a422a-90e2-473e-a3d9-52d83dba9511">
      <UserInfo>
        <DisplayName/>
        <AccountId xsi:nil="true"/>
        <AccountType/>
      </UserInfo>
    </Student_Groups>
    <Invited_Teachers xmlns="425a422a-90e2-473e-a3d9-52d83dba9511" xsi:nil="true"/>
    <Templates xmlns="425a422a-90e2-473e-a3d9-52d83dba9511" xsi:nil="true"/>
    <AppVersion xmlns="425a422a-90e2-473e-a3d9-52d83dba9511" xsi:nil="true"/>
    <Is_Collaboration_Space_Locked xmlns="425a422a-90e2-473e-a3d9-52d83dba9511" xsi:nil="true"/>
    <Self_Registration_Enabled xmlns="425a422a-90e2-473e-a3d9-52d83dba9511" xsi:nil="true"/>
    <Has_Teacher_Only_SectionGroup xmlns="425a422a-90e2-473e-a3d9-52d83dba9511" xsi:nil="true"/>
    <CultureName xmlns="425a422a-90e2-473e-a3d9-52d83dba9511" xsi:nil="true"/>
    <Students xmlns="425a422a-90e2-473e-a3d9-52d83dba9511">
      <UserInfo>
        <DisplayName/>
        <AccountId xsi:nil="true"/>
        <AccountType/>
      </UserInfo>
    </Students>
    <TeamsChannelId xmlns="425a422a-90e2-473e-a3d9-52d83dba9511" xsi:nil="true"/>
    <IsNotebookLocked xmlns="425a422a-90e2-473e-a3d9-52d83dba9511" xsi:nil="true"/>
    <NotebookType xmlns="425a422a-90e2-473e-a3d9-52d83dba9511" xsi:nil="true"/>
    <Teachers xmlns="425a422a-90e2-473e-a3d9-52d83dba9511">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83A92F6327F94E9B32E5C439BA17E7" ma:contentTypeVersion="33" ma:contentTypeDescription="Create a new document." ma:contentTypeScope="" ma:versionID="65656ad9ec50cd5aa89700bc741b15b4">
  <xsd:schema xmlns:xsd="http://www.w3.org/2001/XMLSchema" xmlns:xs="http://www.w3.org/2001/XMLSchema" xmlns:p="http://schemas.microsoft.com/office/2006/metadata/properties" xmlns:ns3="425a422a-90e2-473e-a3d9-52d83dba9511" xmlns:ns4="d3e55a05-4253-4076-857d-908e516fb690" targetNamespace="http://schemas.microsoft.com/office/2006/metadata/properties" ma:root="true" ma:fieldsID="eee38365d9ad07a0b4eb10999dd26c05" ns3:_="" ns4:_="">
    <xsd:import namespace="425a422a-90e2-473e-a3d9-52d83dba9511"/>
    <xsd:import namespace="d3e55a05-4253-4076-857d-908e516fb690"/>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a422a-90e2-473e-a3d9-52d83dba95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Templates" ma:index="14" nillable="true" ma:displayName="Templates" ma:internalName="Templat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sNotebookLocked" ma:index="34"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55a05-4253-4076-857d-908e516fb690" elementFormDefault="qualified">
    <xsd:import namespace="http://schemas.microsoft.com/office/2006/documentManagement/types"/>
    <xsd:import namespace="http://schemas.microsoft.com/office/infopath/2007/PartnerControls"/>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SharingHintHash" ma:index="2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062C-0B74-405D-91B7-D82E819ED85B}">
  <ds:schemaRefs>
    <ds:schemaRef ds:uri="http://schemas.microsoft.com/office/2006/metadata/properties"/>
    <ds:schemaRef ds:uri="http://schemas.microsoft.com/office/infopath/2007/PartnerControls"/>
    <ds:schemaRef ds:uri="425a422a-90e2-473e-a3d9-52d83dba9511"/>
  </ds:schemaRefs>
</ds:datastoreItem>
</file>

<file path=customXml/itemProps2.xml><?xml version="1.0" encoding="utf-8"?>
<ds:datastoreItem xmlns:ds="http://schemas.openxmlformats.org/officeDocument/2006/customXml" ds:itemID="{C80E5007-A863-4411-A2D3-11CC062F295A}">
  <ds:schemaRefs>
    <ds:schemaRef ds:uri="http://schemas.microsoft.com/sharepoint/v3/contenttype/forms"/>
  </ds:schemaRefs>
</ds:datastoreItem>
</file>

<file path=customXml/itemProps3.xml><?xml version="1.0" encoding="utf-8"?>
<ds:datastoreItem xmlns:ds="http://schemas.openxmlformats.org/officeDocument/2006/customXml" ds:itemID="{717DCB20-034B-4E0E-A8B3-53D1A5CB2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a422a-90e2-473e-a3d9-52d83dba9511"/>
    <ds:schemaRef ds:uri="d3e55a05-4253-4076-857d-908e516f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Linkerhof, Shannon M.</cp:lastModifiedBy>
  <cp:revision>27</cp:revision>
  <cp:lastPrinted>2020-12-18T18:34:00Z</cp:lastPrinted>
  <dcterms:created xsi:type="dcterms:W3CDTF">2022-05-18T11:41:00Z</dcterms:created>
  <dcterms:modified xsi:type="dcterms:W3CDTF">2022-05-26T15:23:00Z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0x0101001883A92F6327F94E9B32E5C439BA17E7</vt:lpwstr>
  </property>
</Properties>
</file>