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C7F9A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13,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3C7F9A">
        <w:rPr>
          <w:rFonts w:ascii="Arial Narrow" w:hAnsi="Arial Narrow"/>
        </w:rPr>
        <w:t>23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3C7F9A">
        <w:rPr>
          <w:rFonts w:ascii="Arial Narrow" w:hAnsi="Arial Narrow"/>
        </w:rPr>
        <w:t>April 13,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3C7F9A">
        <w:rPr>
          <w:rFonts w:ascii="Arial Narrow" w:hAnsi="Arial Narrow"/>
        </w:rPr>
        <w:t>440.54</w:t>
      </w:r>
      <w:r w:rsidR="00273FB0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(</w:t>
      </w:r>
      <w:r w:rsidR="003C7F9A">
        <w:rPr>
          <w:rFonts w:ascii="Arial Narrow" w:hAnsi="Arial Narrow"/>
        </w:rPr>
        <w:t>January</w:t>
      </w:r>
      <w:r w:rsidR="00273FB0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3C7F9A">
        <w:rPr>
          <w:rFonts w:ascii="Arial Narrow" w:hAnsi="Arial Narrow"/>
        </w:rPr>
        <w:t>6,257,191.67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3C7F9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2015-04-08T12:47:00Z</dcterms:created>
  <dcterms:modified xsi:type="dcterms:W3CDTF">2015-04-08T12:51:00Z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