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B51E1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14</w:t>
      </w:r>
      <w:r w:rsidR="00874BB4">
        <w:rPr>
          <w:rFonts w:ascii="Arial Narrow" w:hAnsi="Arial Narrow"/>
          <w:b/>
          <w:bCs/>
          <w:sz w:val="28"/>
          <w:szCs w:val="28"/>
        </w:rPr>
        <w:t>, 2022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B51E1">
        <w:rPr>
          <w:rFonts w:ascii="Arial Narrow" w:hAnsi="Arial Narrow"/>
        </w:rPr>
        <w:t>20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3B51E1">
        <w:rPr>
          <w:rFonts w:ascii="Arial Narrow" w:hAnsi="Arial Narrow"/>
        </w:rPr>
        <w:t>February 14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2022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05257">
        <w:rPr>
          <w:rFonts w:ascii="Arial Narrow" w:hAnsi="Arial Narrow"/>
        </w:rPr>
        <w:t>None to report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05257">
        <w:rPr>
          <w:rFonts w:ascii="Arial Narrow" w:hAnsi="Arial Narrow"/>
        </w:rPr>
        <w:t>6,135,456.77.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50525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685F4E0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2022-02-07T16:47:00Z</dcterms:created>
  <dcterms:modified xsi:type="dcterms:W3CDTF">2022-02-07T19:32:00Z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