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2E" w:rsidRPr="00BE2B4A"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84042E" w:rsidRPr="00BE2B4A" w:rsidRDefault="0084042E" w:rsidP="0084042E">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84042E" w:rsidRPr="003A6664"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84042E" w:rsidRPr="00BE2B4A"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rPr>
          <w:b/>
          <w:bCs/>
        </w:rPr>
      </w:pPr>
    </w:p>
    <w:p w:rsidR="0084042E" w:rsidRPr="00073E2D" w:rsidRDefault="0084042E" w:rsidP="0084042E">
      <w:pPr>
        <w:pStyle w:val="Heading1"/>
      </w:pPr>
      <w:r w:rsidRPr="003A6664">
        <w:t>COURSE DESCRIPTION</w:t>
      </w:r>
    </w:p>
    <w:p w:rsidR="0084042E" w:rsidRPr="003A6664" w:rsidRDefault="0084042E" w:rsidP="0084042E">
      <w:pPr>
        <w:jc w:val="center"/>
        <w:rPr>
          <w:b/>
          <w:bCs/>
          <w:sz w:val="28"/>
        </w:rPr>
      </w:pPr>
    </w:p>
    <w:p w:rsidR="0084042E" w:rsidRDefault="0084042E" w:rsidP="0084042E">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Course Title:</w:t>
      </w:r>
      <w:r w:rsidRPr="005616EC">
        <w:rPr>
          <w:b w:val="0"/>
        </w:rPr>
        <w:t xml:space="preserve">  Drama</w:t>
      </w:r>
      <w:r w:rsidRPr="003A6664">
        <w:tab/>
      </w:r>
    </w:p>
    <w:p w:rsidR="0084042E" w:rsidRPr="00D82104" w:rsidRDefault="0084042E" w:rsidP="0084042E"/>
    <w:p w:rsidR="0084042E" w:rsidRDefault="0084042E" w:rsidP="0084042E">
      <w:pPr>
        <w:tabs>
          <w:tab w:val="left" w:pos="2160"/>
          <w:tab w:val="left" w:pos="2280"/>
          <w:tab w:val="left" w:pos="9360"/>
        </w:tabs>
        <w:rPr>
          <w:b/>
          <w:bCs/>
        </w:rPr>
      </w:pPr>
      <w:r w:rsidRPr="003A6664">
        <w:rPr>
          <w:b/>
          <w:bCs/>
        </w:rPr>
        <w:t xml:space="preserve">Course Number: </w:t>
      </w:r>
      <w:r w:rsidRPr="003A6664">
        <w:rPr>
          <w:b/>
          <w:bCs/>
        </w:rPr>
        <w:tab/>
      </w:r>
      <w:r w:rsidRPr="00954B76">
        <w:rPr>
          <w:bCs/>
        </w:rPr>
        <w:t>00050</w:t>
      </w:r>
    </w:p>
    <w:p w:rsidR="0084042E" w:rsidRDefault="0084042E" w:rsidP="0084042E">
      <w:pPr>
        <w:tabs>
          <w:tab w:val="left" w:pos="2400"/>
          <w:tab w:val="left" w:pos="2520"/>
          <w:tab w:val="left" w:pos="9360"/>
        </w:tabs>
        <w:rPr>
          <w:b/>
          <w:bCs/>
        </w:rPr>
      </w:pPr>
    </w:p>
    <w:p w:rsidR="0084042E" w:rsidRDefault="0084042E" w:rsidP="0084042E">
      <w:pPr>
        <w:autoSpaceDE w:val="0"/>
        <w:autoSpaceDN w:val="0"/>
        <w:adjustRightInd w:val="0"/>
        <w:rPr>
          <w:bCs/>
        </w:rPr>
      </w:pPr>
      <w:r>
        <w:rPr>
          <w:b/>
          <w:bCs/>
        </w:rPr>
        <w:t xml:space="preserve">Course Prerequisites: </w:t>
      </w:r>
      <w:r>
        <w:rPr>
          <w:bCs/>
        </w:rPr>
        <w:t>None</w:t>
      </w:r>
    </w:p>
    <w:p w:rsidR="0084042E" w:rsidRPr="00954B76" w:rsidRDefault="0084042E" w:rsidP="0084042E">
      <w:pPr>
        <w:autoSpaceDE w:val="0"/>
        <w:autoSpaceDN w:val="0"/>
        <w:adjustRightInd w:val="0"/>
        <w:rPr>
          <w:rFonts w:ascii="TimesNewRomanPSMT" w:eastAsiaTheme="minorHAnsi" w:hAnsi="TimesNewRomanPSMT" w:cs="TimesNewRomanPSMT"/>
          <w:sz w:val="23"/>
          <w:szCs w:val="23"/>
        </w:rPr>
      </w:pPr>
    </w:p>
    <w:p w:rsidR="0084042E" w:rsidRDefault="0084042E" w:rsidP="0084042E">
      <w:pPr>
        <w:autoSpaceDE w:val="0"/>
        <w:autoSpaceDN w:val="0"/>
        <w:adjustRightInd w:val="0"/>
      </w:pPr>
      <w:r w:rsidRPr="00097239">
        <w:rPr>
          <w:b/>
        </w:rPr>
        <w:t>Course Description:</w:t>
      </w:r>
      <w:r w:rsidRPr="00097239">
        <w:t xml:space="preserve"> </w:t>
      </w:r>
    </w:p>
    <w:p w:rsidR="0084042E" w:rsidRPr="00954B76" w:rsidRDefault="0084042E" w:rsidP="0084042E">
      <w:pPr>
        <w:autoSpaceDE w:val="0"/>
        <w:autoSpaceDN w:val="0"/>
        <w:adjustRightInd w:val="0"/>
        <w:rPr>
          <w:rFonts w:eastAsiaTheme="minorHAnsi"/>
          <w:sz w:val="23"/>
          <w:szCs w:val="23"/>
        </w:rPr>
      </w:pPr>
      <w:r>
        <w:t xml:space="preserve">This course is an introduction to the elements of theater including, but not limited to, costuming, make-up, set design and acting. In addition to the classroom study of these elements, students will demonstrate their understanding with a final production.  Study of these elements may include the use of theater games, improvisation, role-playing, pantomimes, skits, puppetry, and plays.  This course will culminate with individual student productions. </w:t>
      </w: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rPr>
          <w:b w:val="0"/>
          <w:u w:val="single"/>
        </w:rPr>
      </w:pPr>
      <w:r w:rsidRPr="003A6664">
        <w:t>Suggested Grade Level:</w:t>
      </w:r>
      <w:r>
        <w:t xml:space="preserve"> 9-12</w:t>
      </w:r>
    </w:p>
    <w:p w:rsidR="0084042E" w:rsidRDefault="0084042E" w:rsidP="0084042E">
      <w:pPr>
        <w:tabs>
          <w:tab w:val="left" w:pos="2280"/>
          <w:tab w:val="center" w:pos="2640"/>
          <w:tab w:val="left" w:pos="3000"/>
          <w:tab w:val="left" w:pos="4800"/>
          <w:tab w:val="center" w:pos="5160"/>
          <w:tab w:val="left" w:pos="5520"/>
          <w:tab w:val="left" w:pos="7440"/>
          <w:tab w:val="center" w:pos="7800"/>
          <w:tab w:val="left" w:pos="8160"/>
        </w:tabs>
        <w:rPr>
          <w:b/>
          <w:bCs/>
        </w:rPr>
      </w:pPr>
    </w:p>
    <w:p w:rsidR="0084042E" w:rsidRPr="00804A9A" w:rsidRDefault="0084042E" w:rsidP="0084042E">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84042E" w:rsidRDefault="0084042E" w:rsidP="0084042E">
      <w:pPr>
        <w:pStyle w:val="Heading2"/>
        <w:tabs>
          <w:tab w:val="left" w:pos="2040"/>
          <w:tab w:val="center" w:pos="2880"/>
          <w:tab w:val="left" w:pos="3600"/>
        </w:tabs>
        <w:spacing w:line="240" w:lineRule="auto"/>
      </w:pPr>
    </w:p>
    <w:p w:rsidR="0084042E" w:rsidRPr="003A6664" w:rsidRDefault="0084042E" w:rsidP="0084042E">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5616EC">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84042E" w:rsidRDefault="0084042E" w:rsidP="0084042E">
      <w:pPr>
        <w:pStyle w:val="BodyText"/>
        <w:tabs>
          <w:tab w:val="left" w:pos="2760"/>
          <w:tab w:val="left" w:pos="2880"/>
          <w:tab w:val="left" w:pos="9360"/>
        </w:tabs>
        <w:spacing w:line="240" w:lineRule="auto"/>
        <w:ind w:right="-600"/>
      </w:pPr>
    </w:p>
    <w:p w:rsidR="0084042E" w:rsidRPr="003A6664" w:rsidRDefault="0084042E" w:rsidP="0084042E">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84042E" w:rsidRDefault="0084042E" w:rsidP="0084042E">
      <w:pPr>
        <w:pStyle w:val="BodyText"/>
        <w:spacing w:line="240" w:lineRule="auto"/>
      </w:pPr>
    </w:p>
    <w:p w:rsidR="0084042E" w:rsidRPr="003A6664" w:rsidRDefault="0084042E" w:rsidP="0084042E">
      <w:pPr>
        <w:pStyle w:val="BodyText"/>
        <w:spacing w:line="240" w:lineRule="auto"/>
      </w:pPr>
      <w:r w:rsidRPr="003A6664">
        <w:t xml:space="preserve">Certification verified by WCSD Human Resources Department: </w:t>
      </w:r>
    </w:p>
    <w:p w:rsidR="0084042E" w:rsidRPr="003A6664" w:rsidRDefault="0084042E" w:rsidP="0084042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84042E" w:rsidRDefault="0084042E" w:rsidP="0084042E">
      <w:pPr>
        <w:pStyle w:val="BodyText"/>
        <w:spacing w:line="240" w:lineRule="auto"/>
      </w:pPr>
    </w:p>
    <w:p w:rsidR="0084042E" w:rsidRDefault="0084042E" w:rsidP="0084042E">
      <w:pPr>
        <w:pStyle w:val="BodyText"/>
        <w:spacing w:line="240" w:lineRule="auto"/>
      </w:pPr>
    </w:p>
    <w:p w:rsidR="0084042E" w:rsidRPr="00804A9A" w:rsidRDefault="0084042E" w:rsidP="0084042E">
      <w:pPr>
        <w:spacing w:after="200" w:line="276" w:lineRule="auto"/>
        <w:rPr>
          <w:b/>
          <w:bCs/>
        </w:rPr>
      </w:pPr>
      <w:r>
        <w:br w:type="page"/>
      </w:r>
      <w:r w:rsidRPr="00804A9A">
        <w:rPr>
          <w:b/>
        </w:rPr>
        <w:lastRenderedPageBreak/>
        <w:t>Board Approved Textbooks, Software, Materials:</w:t>
      </w:r>
    </w:p>
    <w:p w:rsidR="0084042E" w:rsidRDefault="0084042E" w:rsidP="0084042E">
      <w:pPr>
        <w:pStyle w:val="BodyText"/>
        <w:spacing w:line="240" w:lineRule="auto"/>
      </w:pPr>
      <w:r w:rsidRPr="003A6664">
        <w:t xml:space="preserve">Title:  </w:t>
      </w:r>
      <w:r>
        <w:t>The Stage and School</w:t>
      </w:r>
    </w:p>
    <w:p w:rsidR="0084042E" w:rsidRDefault="0084042E" w:rsidP="0084042E">
      <w:pPr>
        <w:pStyle w:val="BodyText"/>
        <w:spacing w:line="240" w:lineRule="auto"/>
      </w:pPr>
      <w:r w:rsidRPr="003A6664">
        <w:t xml:space="preserve">Publisher:  </w:t>
      </w:r>
      <w:r>
        <w:t>Glencoe</w:t>
      </w:r>
    </w:p>
    <w:p w:rsidR="0084042E" w:rsidRPr="003A6664" w:rsidRDefault="0084042E" w:rsidP="0084042E">
      <w:pPr>
        <w:pStyle w:val="BodyText"/>
        <w:spacing w:line="240" w:lineRule="auto"/>
      </w:pPr>
      <w:r w:rsidRPr="003A6664">
        <w:t>ISBN #:</w:t>
      </w:r>
      <w:r>
        <w:t xml:space="preserve"> 0-02-817-234-5</w:t>
      </w:r>
    </w:p>
    <w:p w:rsidR="0084042E" w:rsidRPr="003A6664" w:rsidRDefault="0084042E" w:rsidP="0084042E">
      <w:pPr>
        <w:pStyle w:val="BodyText"/>
        <w:spacing w:line="240" w:lineRule="auto"/>
      </w:pPr>
      <w:r w:rsidRPr="003A6664">
        <w:t>Copyright Date:</w:t>
      </w:r>
      <w:r>
        <w:t xml:space="preserve"> </w:t>
      </w:r>
      <w:r w:rsidR="005616EC">
        <w:t>1998</w:t>
      </w:r>
    </w:p>
    <w:p w:rsidR="0084042E" w:rsidRPr="003A6664" w:rsidRDefault="0084042E" w:rsidP="0084042E">
      <w:pPr>
        <w:pStyle w:val="BodyText"/>
        <w:spacing w:line="240" w:lineRule="auto"/>
      </w:pPr>
      <w:r w:rsidRPr="003A6664">
        <w:t xml:space="preserve">Date of WCSD Board Approval:  </w:t>
      </w:r>
      <w:r>
        <w:fldChar w:fldCharType="begin">
          <w:ffData>
            <w:name w:val="Text73"/>
            <w:enabled/>
            <w:calcOnExit w:val="0"/>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4042E" w:rsidRDefault="0084042E" w:rsidP="0084042E">
      <w:pPr>
        <w:pStyle w:val="BodyText"/>
        <w:spacing w:line="240" w:lineRule="auto"/>
        <w:rPr>
          <w:u w:val="single"/>
        </w:rPr>
      </w:pPr>
    </w:p>
    <w:p w:rsidR="0084042E" w:rsidRPr="00290C6A" w:rsidRDefault="0084042E" w:rsidP="0084042E">
      <w:pPr>
        <w:pStyle w:val="BodyText"/>
        <w:spacing w:line="240" w:lineRule="auto"/>
        <w:rPr>
          <w:b w:val="0"/>
        </w:rPr>
      </w:pPr>
    </w:p>
    <w:p w:rsidR="0084042E" w:rsidRDefault="0084042E" w:rsidP="0084042E">
      <w:pPr>
        <w:pStyle w:val="BodyText"/>
        <w:spacing w:line="240" w:lineRule="auto"/>
        <w:rPr>
          <w:u w:val="single"/>
        </w:rPr>
      </w:pPr>
    </w:p>
    <w:p w:rsidR="0084042E" w:rsidRPr="003A6664" w:rsidRDefault="0084042E" w:rsidP="0084042E">
      <w:pPr>
        <w:pStyle w:val="BodyText"/>
        <w:spacing w:line="240" w:lineRule="auto"/>
        <w:rPr>
          <w:u w:val="single"/>
        </w:rPr>
      </w:pPr>
      <w:r w:rsidRPr="003A6664">
        <w:rPr>
          <w:u w:val="single"/>
        </w:rPr>
        <w:t>BOARD APPROVAL:</w:t>
      </w:r>
    </w:p>
    <w:p w:rsidR="0084042E" w:rsidRDefault="0084042E" w:rsidP="0084042E">
      <w:pPr>
        <w:pStyle w:val="BodyText"/>
        <w:tabs>
          <w:tab w:val="left" w:pos="720"/>
          <w:tab w:val="left" w:pos="2520"/>
          <w:tab w:val="center" w:pos="4080"/>
          <w:tab w:val="left" w:pos="5760"/>
        </w:tabs>
        <w:spacing w:line="240" w:lineRule="auto"/>
      </w:pPr>
    </w:p>
    <w:p w:rsidR="0084042E" w:rsidRPr="003A6664" w:rsidRDefault="0084042E" w:rsidP="0084042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Oct. 9, 2015</w:t>
      </w:r>
      <w:r w:rsidR="00344D4C">
        <w:rPr>
          <w:b w:val="0"/>
          <w:u w:val="single"/>
        </w:rPr>
        <w:t>; Revision (July 13, 2017)</w:t>
      </w:r>
      <w:r w:rsidRPr="003A6664">
        <w:rPr>
          <w:b w:val="0"/>
          <w:u w:val="single"/>
        </w:rPr>
        <w:tab/>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317789">
        <w:rPr>
          <w:b w:val="0"/>
          <w:u w:val="single"/>
        </w:rPr>
        <w:t>September 1</w:t>
      </w:r>
      <w:r w:rsidR="00344D4C">
        <w:rPr>
          <w:b w:val="0"/>
          <w:u w:val="single"/>
        </w:rPr>
        <w:t>, 2017</w:t>
      </w:r>
      <w:r w:rsidRPr="003A6664">
        <w:rPr>
          <w:b w:val="0"/>
          <w:u w:val="single"/>
        </w:rPr>
        <w:tab/>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3600"/>
          <w:tab w:val="center" w:pos="4680"/>
          <w:tab w:val="left" w:pos="5760"/>
        </w:tabs>
        <w:spacing w:line="240" w:lineRule="auto"/>
        <w:rPr>
          <w:b w:val="0"/>
          <w:u w:val="single"/>
        </w:rPr>
      </w:pPr>
      <w:r w:rsidRPr="003A6664">
        <w:tab/>
        <w:t>Implementation Year:</w:t>
      </w:r>
      <w:r w:rsidR="005616EC">
        <w:t xml:space="preserve"> 2017-2018</w:t>
      </w:r>
    </w:p>
    <w:p w:rsidR="0084042E" w:rsidRPr="003A6664" w:rsidRDefault="0084042E" w:rsidP="0084042E">
      <w:pPr>
        <w:pStyle w:val="BodyText"/>
        <w:spacing w:line="240" w:lineRule="auto"/>
      </w:pPr>
    </w:p>
    <w:p w:rsidR="0084042E" w:rsidRDefault="0084042E" w:rsidP="0084042E">
      <w:pPr>
        <w:pStyle w:val="BodyText"/>
        <w:spacing w:line="240" w:lineRule="auto"/>
        <w:jc w:val="center"/>
      </w:pPr>
    </w:p>
    <w:p w:rsidR="0084042E" w:rsidRPr="003A6664" w:rsidRDefault="0084042E" w:rsidP="0084042E">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84042E" w:rsidRPr="003A6664" w:rsidRDefault="0084042E" w:rsidP="0084042E">
      <w:pPr>
        <w:pStyle w:val="BodyText"/>
        <w:spacing w:line="240" w:lineRule="auto"/>
        <w:rPr>
          <w:b w:val="0"/>
          <w:bCs w:val="0"/>
        </w:rPr>
      </w:pPr>
    </w:p>
    <w:p w:rsidR="0084042E" w:rsidRDefault="0084042E" w:rsidP="0084042E">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84042E" w:rsidRDefault="0084042E" w:rsidP="0084042E">
      <w:pPr>
        <w:pStyle w:val="BodyText"/>
        <w:spacing w:line="240" w:lineRule="auto"/>
      </w:pPr>
    </w:p>
    <w:p w:rsidR="0084042E" w:rsidRDefault="0084042E" w:rsidP="0084042E">
      <w:pPr>
        <w:pStyle w:val="BodyText"/>
        <w:spacing w:line="240" w:lineRule="auto"/>
        <w:jc w:val="center"/>
      </w:pPr>
      <w:r w:rsidRPr="003A6664">
        <w:t xml:space="preserve">SPECIFIC EDUCATIONAL </w:t>
      </w:r>
      <w:r>
        <w:t>STANDARDS,  CONTENT, &amp; SKILLS</w:t>
      </w:r>
    </w:p>
    <w:p w:rsidR="0084042E" w:rsidRDefault="0084042E" w:rsidP="0084042E">
      <w:pPr>
        <w:pStyle w:val="BodyText"/>
        <w:spacing w:line="240" w:lineRule="auto"/>
        <w:jc w:val="center"/>
      </w:pPr>
    </w:p>
    <w:tbl>
      <w:tblPr>
        <w:tblStyle w:val="TableGrid"/>
        <w:tblW w:w="10795" w:type="dxa"/>
        <w:tblLayout w:type="fixed"/>
        <w:tblLook w:val="04A0" w:firstRow="1" w:lastRow="0" w:firstColumn="1" w:lastColumn="0" w:noHBand="0" w:noVBand="1"/>
      </w:tblPr>
      <w:tblGrid>
        <w:gridCol w:w="5215"/>
        <w:gridCol w:w="5580"/>
      </w:tblGrid>
      <w:tr w:rsidR="0084042E" w:rsidRPr="00EF078D" w:rsidTr="000B13D3">
        <w:trPr>
          <w:trHeight w:val="281"/>
        </w:trPr>
        <w:tc>
          <w:tcPr>
            <w:tcW w:w="10795" w:type="dxa"/>
            <w:gridSpan w:val="2"/>
          </w:tcPr>
          <w:p w:rsidR="0084042E" w:rsidRPr="00EF078D" w:rsidRDefault="0084042E" w:rsidP="0059367F">
            <w:pPr>
              <w:rPr>
                <w:b/>
                <w:sz w:val="20"/>
                <w:szCs w:val="20"/>
              </w:rPr>
            </w:pPr>
            <w:r>
              <w:rPr>
                <w:b/>
                <w:sz w:val="20"/>
                <w:szCs w:val="20"/>
              </w:rPr>
              <w:t xml:space="preserve">Assessment Anchor and Anchor Descriptor: </w:t>
            </w:r>
            <w:r w:rsidRPr="00EF078D">
              <w:rPr>
                <w:b/>
                <w:sz w:val="20"/>
                <w:szCs w:val="20"/>
              </w:rPr>
              <w:t>1.3 Reading Literature</w:t>
            </w:r>
          </w:p>
          <w:p w:rsidR="0084042E" w:rsidRPr="00EF078D" w:rsidRDefault="0084042E" w:rsidP="0059367F">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84042E" w:rsidRPr="00EF078D" w:rsidRDefault="0084042E" w:rsidP="0059367F">
            <w:pPr>
              <w:rPr>
                <w:rFonts w:eastAsiaTheme="minorHAnsi"/>
                <w:sz w:val="20"/>
                <w:szCs w:val="20"/>
              </w:rPr>
            </w:pPr>
          </w:p>
        </w:tc>
      </w:tr>
      <w:tr w:rsidR="0084042E" w:rsidRPr="00906451" w:rsidTr="000B13D3">
        <w:trPr>
          <w:trHeight w:val="281"/>
        </w:trPr>
        <w:tc>
          <w:tcPr>
            <w:tcW w:w="5215" w:type="dxa"/>
          </w:tcPr>
          <w:p w:rsidR="0084042E" w:rsidRDefault="0084042E" w:rsidP="0059367F">
            <w:pPr>
              <w:rPr>
                <w:rFonts w:eastAsiaTheme="minorHAnsi"/>
                <w:sz w:val="20"/>
                <w:szCs w:val="20"/>
              </w:rPr>
            </w:pPr>
            <w:r w:rsidRPr="00EF078D">
              <w:rPr>
                <w:rFonts w:eastAsiaTheme="minorHAnsi"/>
                <w:b/>
                <w:sz w:val="20"/>
                <w:szCs w:val="20"/>
              </w:rPr>
              <w:t>PA Core Standard</w:t>
            </w:r>
            <w:r>
              <w:rPr>
                <w:rFonts w:eastAsiaTheme="minorHAnsi"/>
                <w:b/>
                <w:sz w:val="20"/>
                <w:szCs w:val="20"/>
              </w:rPr>
              <w:t xml:space="preserve">: </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CC.1.3.11–12.C</w:t>
            </w:r>
          </w:p>
          <w:p w:rsidR="0084042E" w:rsidRPr="00EF078D" w:rsidRDefault="0084042E" w:rsidP="0059367F">
            <w:pPr>
              <w:rPr>
                <w:sz w:val="20"/>
                <w:szCs w:val="20"/>
              </w:rPr>
            </w:pPr>
            <w:r w:rsidRPr="00EF078D">
              <w:rPr>
                <w:sz w:val="20"/>
                <w:szCs w:val="20"/>
              </w:rPr>
              <w:t>Analyze the impact of the author’s choices regarding how to develop and relate elements of a story or drama.</w:t>
            </w:r>
          </w:p>
          <w:p w:rsidR="0084042E" w:rsidRDefault="0084042E" w:rsidP="0059367F">
            <w:pPr>
              <w:rPr>
                <w:b/>
                <w:sz w:val="20"/>
                <w:szCs w:val="20"/>
              </w:rPr>
            </w:pPr>
          </w:p>
          <w:p w:rsidR="0084042E" w:rsidRPr="00EF078D" w:rsidRDefault="0084042E" w:rsidP="0059367F">
            <w:pPr>
              <w:rPr>
                <w:b/>
                <w:sz w:val="20"/>
                <w:szCs w:val="20"/>
              </w:rPr>
            </w:pPr>
            <w:r w:rsidRPr="00EF078D">
              <w:rPr>
                <w:b/>
                <w:sz w:val="20"/>
                <w:szCs w:val="20"/>
              </w:rPr>
              <w:t>CC.1.3.11–12.D</w:t>
            </w:r>
          </w:p>
          <w:p w:rsidR="0084042E" w:rsidRPr="00EF078D" w:rsidRDefault="0084042E" w:rsidP="0059367F">
            <w:pPr>
              <w:rPr>
                <w:sz w:val="20"/>
                <w:szCs w:val="20"/>
              </w:rPr>
            </w:pPr>
            <w:r w:rsidRPr="00EF078D">
              <w:rPr>
                <w:sz w:val="20"/>
                <w:szCs w:val="20"/>
              </w:rPr>
              <w:t>Evaluate how an author’s point of view or purpose shapes the content and style of a text</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CC.1.3.11–12.E</w:t>
            </w:r>
          </w:p>
          <w:p w:rsidR="0084042E" w:rsidRPr="00EF078D" w:rsidRDefault="0084042E" w:rsidP="0059367F">
            <w:pPr>
              <w:rPr>
                <w:sz w:val="20"/>
                <w:szCs w:val="20"/>
              </w:rPr>
            </w:pPr>
            <w:r w:rsidRPr="00EF078D">
              <w:rPr>
                <w:sz w:val="20"/>
                <w:szCs w:val="20"/>
              </w:rPr>
              <w:t>Evaluate the structure of texts including how specific sentences, paragraphs, and larger portions of the texts relate to each other and the whole.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CC.1.3.11–12.F</w:t>
            </w:r>
          </w:p>
          <w:p w:rsidR="0084042E" w:rsidRPr="00EF078D" w:rsidRDefault="0084042E" w:rsidP="0059367F">
            <w:pPr>
              <w:rPr>
                <w:sz w:val="20"/>
                <w:szCs w:val="20"/>
              </w:rPr>
            </w:pPr>
            <w:r w:rsidRPr="00EF078D">
              <w:rPr>
                <w:sz w:val="20"/>
                <w:szCs w:val="20"/>
              </w:rPr>
              <w:t>Evaluate how words and phrases shape meaning and tone in texts</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CC.1.3.11–12.J</w:t>
            </w:r>
          </w:p>
          <w:p w:rsidR="0084042E" w:rsidRPr="00EF078D" w:rsidRDefault="0084042E" w:rsidP="0059367F">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CC.1.3.11–12.K</w:t>
            </w:r>
          </w:p>
          <w:p w:rsidR="0084042E" w:rsidRPr="00EF078D" w:rsidRDefault="0084042E" w:rsidP="0059367F">
            <w:pPr>
              <w:rPr>
                <w:sz w:val="20"/>
                <w:szCs w:val="20"/>
              </w:rPr>
            </w:pPr>
            <w:r w:rsidRPr="00EF078D">
              <w:rPr>
                <w:sz w:val="20"/>
                <w:szCs w:val="20"/>
              </w:rPr>
              <w:t>Read and comprehend literary fiction on grade level, reading independently and proficiently.</w:t>
            </w:r>
          </w:p>
          <w:p w:rsidR="0084042E" w:rsidRDefault="0084042E" w:rsidP="0059367F">
            <w:pPr>
              <w:rPr>
                <w:rFonts w:eastAsiaTheme="minorHAnsi"/>
                <w:sz w:val="20"/>
                <w:szCs w:val="20"/>
              </w:rPr>
            </w:pPr>
          </w:p>
          <w:p w:rsidR="0084042E" w:rsidRPr="00906451" w:rsidRDefault="0084042E" w:rsidP="0059367F">
            <w:pPr>
              <w:rPr>
                <w:rFonts w:eastAsiaTheme="minorHAnsi"/>
                <w:sz w:val="20"/>
                <w:szCs w:val="20"/>
              </w:rPr>
            </w:pPr>
          </w:p>
        </w:tc>
        <w:tc>
          <w:tcPr>
            <w:tcW w:w="5580" w:type="dxa"/>
          </w:tcPr>
          <w:p w:rsidR="0084042E" w:rsidRDefault="0084042E" w:rsidP="0059367F">
            <w:pPr>
              <w:ind w:right="-2528"/>
              <w:rPr>
                <w:rFonts w:eastAsiaTheme="minorHAnsi"/>
                <w:b/>
                <w:sz w:val="20"/>
                <w:szCs w:val="20"/>
              </w:rPr>
            </w:pPr>
            <w:r>
              <w:rPr>
                <w:rFonts w:eastAsiaTheme="minorHAnsi"/>
                <w:b/>
                <w:sz w:val="20"/>
                <w:szCs w:val="20"/>
              </w:rPr>
              <w:t>Eligible Content:</w:t>
            </w:r>
          </w:p>
          <w:p w:rsidR="0084042E" w:rsidRDefault="0084042E" w:rsidP="0059367F">
            <w:pPr>
              <w:ind w:right="-2528"/>
              <w:rPr>
                <w:rFonts w:eastAsiaTheme="minorHAnsi"/>
                <w:b/>
                <w:sz w:val="20"/>
                <w:szCs w:val="20"/>
              </w:rPr>
            </w:pPr>
          </w:p>
          <w:p w:rsidR="0084042E" w:rsidRPr="00906451" w:rsidRDefault="0084042E" w:rsidP="000B13D3">
            <w:pPr>
              <w:rPr>
                <w:rFonts w:eastAsiaTheme="minorHAnsi"/>
                <w:sz w:val="20"/>
                <w:szCs w:val="20"/>
              </w:rPr>
            </w:pPr>
            <w:r>
              <w:rPr>
                <w:rFonts w:eastAsiaTheme="minorHAnsi"/>
                <w:sz w:val="20"/>
                <w:szCs w:val="20"/>
              </w:rPr>
              <w:t>Not state assessed.</w:t>
            </w:r>
          </w:p>
        </w:tc>
      </w:tr>
      <w:tr w:rsidR="0084042E" w:rsidRPr="00290C6A" w:rsidTr="000B13D3">
        <w:trPr>
          <w:trHeight w:val="281"/>
        </w:trPr>
        <w:tc>
          <w:tcPr>
            <w:tcW w:w="10795" w:type="dxa"/>
            <w:gridSpan w:val="2"/>
          </w:tcPr>
          <w:p w:rsidR="0084042E" w:rsidRPr="00EF078D" w:rsidRDefault="0084042E" w:rsidP="0059367F">
            <w:pPr>
              <w:rPr>
                <w:b/>
                <w:sz w:val="20"/>
                <w:szCs w:val="20"/>
              </w:rPr>
            </w:pPr>
            <w:r w:rsidRPr="00290C6A">
              <w:rPr>
                <w:b/>
                <w:sz w:val="20"/>
                <w:szCs w:val="20"/>
              </w:rPr>
              <w:t xml:space="preserve">Assessment Anchor and Anchor Descriptor: </w:t>
            </w:r>
            <w:r w:rsidRPr="00EF078D">
              <w:rPr>
                <w:sz w:val="20"/>
                <w:szCs w:val="20"/>
              </w:rPr>
              <w:t>1</w:t>
            </w:r>
            <w:r w:rsidRPr="00EF078D">
              <w:rPr>
                <w:b/>
                <w:sz w:val="20"/>
                <w:szCs w:val="20"/>
              </w:rPr>
              <w:t>.5 Speaking and Listening</w:t>
            </w:r>
          </w:p>
          <w:p w:rsidR="0084042E" w:rsidRDefault="0084042E" w:rsidP="0059367F">
            <w:pPr>
              <w:rPr>
                <w:b/>
                <w:sz w:val="20"/>
                <w:szCs w:val="20"/>
              </w:rPr>
            </w:pPr>
            <w:r w:rsidRPr="00EF078D">
              <w:rPr>
                <w:b/>
                <w:sz w:val="20"/>
                <w:szCs w:val="20"/>
              </w:rPr>
              <w:t>Students present appropriately in formal speaking situations, listen critically, and respond intelligently as individuals or in group discussions.</w:t>
            </w:r>
          </w:p>
          <w:p w:rsidR="0084042E" w:rsidRPr="00290C6A" w:rsidRDefault="0084042E" w:rsidP="0059367F">
            <w:pPr>
              <w:rPr>
                <w:b/>
                <w:sz w:val="20"/>
                <w:szCs w:val="20"/>
              </w:rPr>
            </w:pPr>
          </w:p>
        </w:tc>
      </w:tr>
      <w:tr w:rsidR="0084042E" w:rsidRPr="00906451" w:rsidTr="000B13D3">
        <w:trPr>
          <w:trHeight w:val="281"/>
        </w:trPr>
        <w:tc>
          <w:tcPr>
            <w:tcW w:w="5215" w:type="dxa"/>
          </w:tcPr>
          <w:p w:rsidR="0084042E" w:rsidRDefault="0084042E" w:rsidP="0059367F">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4042E" w:rsidRDefault="0084042E" w:rsidP="0059367F">
            <w:pPr>
              <w:rPr>
                <w:rFonts w:eastAsiaTheme="minorHAnsi"/>
                <w:b/>
                <w:sz w:val="20"/>
                <w:szCs w:val="20"/>
              </w:rPr>
            </w:pPr>
          </w:p>
          <w:p w:rsidR="0084042E" w:rsidRPr="00EF078D" w:rsidRDefault="0084042E" w:rsidP="0059367F">
            <w:pPr>
              <w:rPr>
                <w:b/>
                <w:sz w:val="20"/>
                <w:szCs w:val="20"/>
              </w:rPr>
            </w:pPr>
            <w:r w:rsidRPr="00EF078D">
              <w:rPr>
                <w:b/>
                <w:sz w:val="20"/>
                <w:szCs w:val="20"/>
              </w:rPr>
              <w:t>CC.1.5.11–12.A</w:t>
            </w:r>
          </w:p>
          <w:p w:rsidR="0084042E" w:rsidRPr="00EF078D" w:rsidRDefault="0084042E" w:rsidP="0059367F">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CC.1.5.11–12.B</w:t>
            </w:r>
          </w:p>
          <w:p w:rsidR="0084042E" w:rsidRPr="00EF078D" w:rsidRDefault="0084042E" w:rsidP="0059367F">
            <w:pPr>
              <w:rPr>
                <w:sz w:val="20"/>
                <w:szCs w:val="20"/>
              </w:rPr>
            </w:pPr>
            <w:r w:rsidRPr="00EF078D">
              <w:rPr>
                <w:sz w:val="20"/>
                <w:szCs w:val="20"/>
              </w:rPr>
              <w:t xml:space="preserve">Evaluate how the speaker’s perspective, reasoning, and use of evidence and rhetoric affect the credibility of an </w:t>
            </w:r>
            <w:r>
              <w:rPr>
                <w:sz w:val="20"/>
                <w:szCs w:val="20"/>
              </w:rPr>
              <w:t xml:space="preserve">argument through </w:t>
            </w:r>
            <w:r w:rsidRPr="00EF078D">
              <w:rPr>
                <w:sz w:val="20"/>
                <w:szCs w:val="20"/>
              </w:rPr>
              <w:t>the author’s stance, premises, links among ideas, word choice, points of emphasis, and tone.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CC.1.5.11–12.C</w:t>
            </w:r>
          </w:p>
          <w:p w:rsidR="0084042E" w:rsidRPr="00EF078D" w:rsidRDefault="0084042E" w:rsidP="0059367F">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CC.1.5.11–12.D</w:t>
            </w:r>
          </w:p>
          <w:p w:rsidR="0084042E" w:rsidRPr="00EF078D" w:rsidRDefault="0084042E" w:rsidP="0059367F">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CC.1.5.11–12E</w:t>
            </w:r>
          </w:p>
          <w:p w:rsidR="0084042E" w:rsidRPr="00EF078D" w:rsidRDefault="0084042E" w:rsidP="0059367F">
            <w:pPr>
              <w:rPr>
                <w:sz w:val="20"/>
                <w:szCs w:val="20"/>
              </w:rPr>
            </w:pPr>
            <w:r w:rsidRPr="00EF078D">
              <w:rPr>
                <w:sz w:val="20"/>
                <w:szCs w:val="20"/>
              </w:rPr>
              <w:t>Adapt speech to a variety of contexts and tasks.</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CC.1.5.11–12.F</w:t>
            </w:r>
          </w:p>
          <w:p w:rsidR="0084042E" w:rsidRPr="00EF078D" w:rsidRDefault="0084042E" w:rsidP="0059367F">
            <w:pPr>
              <w:rPr>
                <w:sz w:val="20"/>
                <w:szCs w:val="20"/>
              </w:rPr>
            </w:pPr>
            <w:r w:rsidRPr="00EF078D">
              <w:rPr>
                <w:sz w:val="20"/>
                <w:szCs w:val="20"/>
              </w:rPr>
              <w:t>Make strategic use of digital media in presentations to add interest and enhance understanding of findings, reasoning, and evidence.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CC.1.5.11–12.G</w:t>
            </w:r>
          </w:p>
          <w:p w:rsidR="0084042E" w:rsidRPr="00EF078D" w:rsidRDefault="0084042E" w:rsidP="0059367F">
            <w:pPr>
              <w:rPr>
                <w:sz w:val="20"/>
                <w:szCs w:val="20"/>
              </w:rPr>
            </w:pPr>
            <w:r w:rsidRPr="00EF078D">
              <w:rPr>
                <w:sz w:val="20"/>
                <w:szCs w:val="20"/>
              </w:rPr>
              <w:t>Demonstrate command of the conventions of standard English when speaking based on Grades 11–12 level and content</w:t>
            </w:r>
          </w:p>
          <w:p w:rsidR="0084042E" w:rsidRPr="00EF078D" w:rsidRDefault="0084042E" w:rsidP="0059367F">
            <w:pPr>
              <w:rPr>
                <w:rFonts w:eastAsiaTheme="minorHAnsi"/>
                <w:b/>
                <w:sz w:val="20"/>
                <w:szCs w:val="20"/>
              </w:rPr>
            </w:pPr>
          </w:p>
        </w:tc>
        <w:tc>
          <w:tcPr>
            <w:tcW w:w="5580" w:type="dxa"/>
          </w:tcPr>
          <w:p w:rsidR="0084042E" w:rsidRDefault="0084042E" w:rsidP="0059367F">
            <w:pPr>
              <w:ind w:right="-2528"/>
              <w:rPr>
                <w:rFonts w:eastAsiaTheme="minorHAnsi"/>
                <w:b/>
                <w:sz w:val="20"/>
                <w:szCs w:val="20"/>
              </w:rPr>
            </w:pPr>
            <w:r>
              <w:rPr>
                <w:rFonts w:eastAsiaTheme="minorHAnsi"/>
                <w:b/>
                <w:sz w:val="20"/>
                <w:szCs w:val="20"/>
              </w:rPr>
              <w:t xml:space="preserve">Eligible Content: </w:t>
            </w:r>
          </w:p>
          <w:p w:rsidR="0084042E" w:rsidRDefault="0084042E" w:rsidP="0059367F">
            <w:pPr>
              <w:ind w:right="-2528"/>
              <w:rPr>
                <w:rFonts w:eastAsiaTheme="minorHAnsi"/>
                <w:b/>
                <w:sz w:val="20"/>
                <w:szCs w:val="20"/>
              </w:rPr>
            </w:pPr>
          </w:p>
          <w:p w:rsidR="0084042E" w:rsidRPr="00906451" w:rsidRDefault="0084042E" w:rsidP="0059367F">
            <w:pPr>
              <w:ind w:right="-2528"/>
              <w:rPr>
                <w:rFonts w:eastAsiaTheme="minorHAnsi"/>
                <w:sz w:val="20"/>
                <w:szCs w:val="20"/>
              </w:rPr>
            </w:pPr>
            <w:r>
              <w:rPr>
                <w:rFonts w:eastAsiaTheme="minorHAnsi"/>
                <w:sz w:val="20"/>
                <w:szCs w:val="20"/>
              </w:rPr>
              <w:t xml:space="preserve">Not state assessed. </w:t>
            </w:r>
          </w:p>
        </w:tc>
      </w:tr>
      <w:tr w:rsidR="0084042E" w:rsidRPr="00EF078D" w:rsidTr="000B13D3">
        <w:trPr>
          <w:trHeight w:val="281"/>
        </w:trPr>
        <w:tc>
          <w:tcPr>
            <w:tcW w:w="5215" w:type="dxa"/>
          </w:tcPr>
          <w:p w:rsidR="0084042E" w:rsidRPr="00EF078D" w:rsidRDefault="0084042E" w:rsidP="0059367F">
            <w:pPr>
              <w:rPr>
                <w:rFonts w:eastAsiaTheme="minorHAnsi"/>
                <w:sz w:val="20"/>
                <w:szCs w:val="20"/>
              </w:rPr>
            </w:pPr>
          </w:p>
        </w:tc>
        <w:tc>
          <w:tcPr>
            <w:tcW w:w="5580" w:type="dxa"/>
          </w:tcPr>
          <w:p w:rsidR="0084042E" w:rsidRPr="00EF078D" w:rsidRDefault="0084042E" w:rsidP="0059367F">
            <w:pPr>
              <w:rPr>
                <w:rFonts w:eastAsiaTheme="minorHAnsi"/>
                <w:sz w:val="20"/>
                <w:szCs w:val="20"/>
              </w:rPr>
            </w:pPr>
          </w:p>
        </w:tc>
      </w:tr>
    </w:tbl>
    <w:p w:rsidR="0084042E" w:rsidRDefault="0084042E" w:rsidP="0084042E">
      <w:pPr>
        <w:pStyle w:val="BodyText"/>
        <w:spacing w:line="240" w:lineRule="auto"/>
        <w:jc w:val="center"/>
      </w:pPr>
    </w:p>
    <w:p w:rsidR="0084042E" w:rsidRPr="00EE754F" w:rsidRDefault="0084042E" w:rsidP="0084042E">
      <w:pPr>
        <w:pStyle w:val="BodyText"/>
        <w:spacing w:line="240" w:lineRule="auto"/>
        <w:rPr>
          <w:b w:val="0"/>
        </w:rPr>
      </w:pPr>
      <w:r w:rsidRPr="00EE754F">
        <w:rPr>
          <w:b w:val="0"/>
        </w:rPr>
        <w:t xml:space="preserve">See Curriculum Map  - </w:t>
      </w:r>
      <w:r>
        <w:rPr>
          <w:b w:val="0"/>
        </w:rPr>
        <w:t>&lt;Drama&gt;</w:t>
      </w:r>
    </w:p>
    <w:p w:rsidR="0084042E" w:rsidRPr="00804A9A" w:rsidRDefault="0084042E" w:rsidP="0084042E">
      <w:pPr>
        <w:spacing w:after="200" w:line="276" w:lineRule="auto"/>
        <w:rPr>
          <w:b/>
          <w:bCs/>
        </w:rPr>
      </w:pPr>
    </w:p>
    <w:p w:rsidR="0084042E" w:rsidRPr="003A6664" w:rsidRDefault="0084042E" w:rsidP="0084042E">
      <w:pPr>
        <w:pStyle w:val="BodyText"/>
        <w:spacing w:line="240" w:lineRule="auto"/>
        <w:jc w:val="center"/>
      </w:pPr>
      <w:r w:rsidRPr="003A6664">
        <w:lastRenderedPageBreak/>
        <w:t>ASSESSMENTS</w:t>
      </w:r>
    </w:p>
    <w:p w:rsidR="0084042E" w:rsidRPr="00264908" w:rsidRDefault="0084042E" w:rsidP="0084042E">
      <w:pPr>
        <w:pStyle w:val="BodyText"/>
        <w:spacing w:line="240" w:lineRule="auto"/>
        <w:jc w:val="center"/>
        <w:rPr>
          <w:sz w:val="16"/>
          <w:szCs w:val="16"/>
        </w:rPr>
      </w:pPr>
    </w:p>
    <w:p w:rsidR="0084042E" w:rsidRDefault="0084042E" w:rsidP="0084042E">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84042E" w:rsidRPr="00264908" w:rsidRDefault="0084042E" w:rsidP="0084042E">
      <w:pPr>
        <w:pStyle w:val="BodyText"/>
        <w:spacing w:line="240" w:lineRule="auto"/>
        <w:rPr>
          <w:sz w:val="16"/>
          <w:szCs w:val="16"/>
        </w:rPr>
      </w:pPr>
    </w:p>
    <w:p w:rsidR="0084042E" w:rsidRDefault="0084042E" w:rsidP="0084042E">
      <w:pPr>
        <w:numPr>
          <w:ilvl w:val="0"/>
          <w:numId w:val="3"/>
        </w:numPr>
      </w:pPr>
      <w:r w:rsidRPr="00582D46">
        <w:t xml:space="preserve">Pre-Assessments of prior knowledge (e.g. entrance cards or KWL chart) </w:t>
      </w:r>
    </w:p>
    <w:p w:rsidR="0084042E" w:rsidRPr="00582D46" w:rsidRDefault="0084042E" w:rsidP="0084042E">
      <w:pPr>
        <w:numPr>
          <w:ilvl w:val="0"/>
          <w:numId w:val="3"/>
        </w:numPr>
      </w:pPr>
      <w:r w:rsidRPr="00582D46">
        <w:t xml:space="preserve">Discussions </w:t>
      </w:r>
    </w:p>
    <w:p w:rsidR="0084042E" w:rsidRPr="00582D46" w:rsidRDefault="0084042E" w:rsidP="0084042E">
      <w:pPr>
        <w:numPr>
          <w:ilvl w:val="0"/>
          <w:numId w:val="3"/>
        </w:numPr>
      </w:pPr>
      <w:r>
        <w:t>Teacher observation/Questioning</w:t>
      </w:r>
    </w:p>
    <w:p w:rsidR="0084042E" w:rsidRPr="00582D46" w:rsidRDefault="0084042E" w:rsidP="0084042E">
      <w:pPr>
        <w:numPr>
          <w:ilvl w:val="0"/>
          <w:numId w:val="3"/>
        </w:numPr>
      </w:pPr>
      <w:r w:rsidRPr="00582D46">
        <w:t xml:space="preserve">Graphic organizers (e.g. Venn diagrams, word mapping, webbing, KWL chart, etc.) </w:t>
      </w:r>
    </w:p>
    <w:p w:rsidR="0084042E" w:rsidRPr="00582D46" w:rsidRDefault="0084042E" w:rsidP="0084042E">
      <w:pPr>
        <w:numPr>
          <w:ilvl w:val="0"/>
          <w:numId w:val="3"/>
        </w:numPr>
      </w:pPr>
      <w:r w:rsidRPr="00582D46">
        <w:t xml:space="preserve">Notetaking </w:t>
      </w:r>
    </w:p>
    <w:p w:rsidR="0084042E" w:rsidRPr="00582D46" w:rsidRDefault="0084042E" w:rsidP="0084042E">
      <w:pPr>
        <w:numPr>
          <w:ilvl w:val="0"/>
          <w:numId w:val="3"/>
        </w:numPr>
      </w:pPr>
      <w:r w:rsidRPr="00582D46">
        <w:t xml:space="preserve">Problem-based learning modules </w:t>
      </w:r>
    </w:p>
    <w:p w:rsidR="0084042E" w:rsidRDefault="0084042E" w:rsidP="0084042E">
      <w:pPr>
        <w:numPr>
          <w:ilvl w:val="0"/>
          <w:numId w:val="3"/>
        </w:numPr>
      </w:pPr>
      <w:r w:rsidRPr="00582D46">
        <w:t>Authentic assessment</w:t>
      </w:r>
    </w:p>
    <w:p w:rsidR="0084042E" w:rsidRPr="00582D46" w:rsidRDefault="0084042E" w:rsidP="0084042E">
      <w:pPr>
        <w:numPr>
          <w:ilvl w:val="0"/>
          <w:numId w:val="3"/>
        </w:numPr>
      </w:pPr>
      <w:r>
        <w:t>Oral presentations</w:t>
      </w:r>
    </w:p>
    <w:p w:rsidR="0084042E" w:rsidRPr="00582D46" w:rsidRDefault="0084042E" w:rsidP="0084042E">
      <w:pPr>
        <w:numPr>
          <w:ilvl w:val="0"/>
          <w:numId w:val="3"/>
        </w:numPr>
      </w:pPr>
      <w:r>
        <w:t>Student presentations/projects</w:t>
      </w:r>
    </w:p>
    <w:p w:rsidR="0084042E" w:rsidRDefault="0084042E" w:rsidP="0084042E">
      <w:pPr>
        <w:numPr>
          <w:ilvl w:val="0"/>
          <w:numId w:val="3"/>
        </w:numPr>
      </w:pPr>
      <w:r>
        <w:t xml:space="preserve">Open-ended </w:t>
      </w:r>
      <w:r w:rsidRPr="00582D46">
        <w:t xml:space="preserve">response </w:t>
      </w:r>
    </w:p>
    <w:p w:rsidR="005616EC" w:rsidRPr="00582D46" w:rsidRDefault="005616EC" w:rsidP="0084042E">
      <w:pPr>
        <w:numPr>
          <w:ilvl w:val="0"/>
          <w:numId w:val="3"/>
        </w:numPr>
      </w:pPr>
      <w:r>
        <w:t>Impromptu performances</w:t>
      </w:r>
    </w:p>
    <w:p w:rsidR="0084042E" w:rsidRPr="00264908" w:rsidRDefault="0084042E" w:rsidP="0084042E">
      <w:pPr>
        <w:ind w:left="720"/>
      </w:pPr>
    </w:p>
    <w:p w:rsidR="0084042E" w:rsidRDefault="0084042E" w:rsidP="005616EC">
      <w:r w:rsidRPr="000D04CF">
        <w:rPr>
          <w:b/>
          <w:bCs/>
        </w:rPr>
        <w:t>Suggested Summative Assessments:</w:t>
      </w:r>
      <w:r w:rsidRPr="000D04CF">
        <w:t xml:space="preserve"> </w:t>
      </w:r>
    </w:p>
    <w:p w:rsidR="0084042E" w:rsidRDefault="0084042E" w:rsidP="0084042E">
      <w:pPr>
        <w:numPr>
          <w:ilvl w:val="0"/>
          <w:numId w:val="4"/>
        </w:numPr>
      </w:pPr>
      <w:r>
        <w:t>Open-Ended Responses</w:t>
      </w:r>
    </w:p>
    <w:p w:rsidR="0084042E" w:rsidRPr="00582D46" w:rsidRDefault="0084042E" w:rsidP="0084042E">
      <w:pPr>
        <w:numPr>
          <w:ilvl w:val="0"/>
          <w:numId w:val="4"/>
        </w:numPr>
      </w:pPr>
      <w:r>
        <w:t>Projects</w:t>
      </w:r>
    </w:p>
    <w:p w:rsidR="0084042E" w:rsidRDefault="0084042E" w:rsidP="0084042E">
      <w:pPr>
        <w:numPr>
          <w:ilvl w:val="0"/>
          <w:numId w:val="4"/>
        </w:numPr>
      </w:pPr>
      <w:r w:rsidRPr="00582D46">
        <w:t xml:space="preserve">Quizzes/tests </w:t>
      </w:r>
    </w:p>
    <w:p w:rsidR="0084042E" w:rsidRDefault="0084042E" w:rsidP="0084042E">
      <w:pPr>
        <w:numPr>
          <w:ilvl w:val="0"/>
          <w:numId w:val="4"/>
        </w:numPr>
      </w:pPr>
      <w:r>
        <w:t>Student presentations</w:t>
      </w:r>
    </w:p>
    <w:p w:rsidR="005616EC" w:rsidRDefault="005616EC" w:rsidP="0084042E">
      <w:pPr>
        <w:numPr>
          <w:ilvl w:val="0"/>
          <w:numId w:val="4"/>
        </w:numPr>
      </w:pPr>
      <w:r>
        <w:t>Student performances</w:t>
      </w:r>
    </w:p>
    <w:p w:rsidR="0084042E" w:rsidRPr="00264908" w:rsidRDefault="0084042E" w:rsidP="0084042E">
      <w:pPr>
        <w:rPr>
          <w:b/>
          <w:bCs/>
          <w:sz w:val="16"/>
          <w:szCs w:val="16"/>
        </w:rPr>
      </w:pPr>
    </w:p>
    <w:p w:rsidR="0084042E" w:rsidRPr="000D04CF" w:rsidRDefault="0084042E" w:rsidP="0084042E">
      <w:pPr>
        <w:rPr>
          <w:b/>
          <w:bCs/>
        </w:rPr>
      </w:pPr>
      <w:r w:rsidRPr="000D04CF">
        <w:rPr>
          <w:b/>
          <w:bCs/>
        </w:rPr>
        <w:t>District Approved Assessment Instruments</w:t>
      </w:r>
    </w:p>
    <w:p w:rsidR="0084042E" w:rsidRPr="00C56B1E" w:rsidRDefault="0084042E" w:rsidP="0084042E">
      <w:pPr>
        <w:numPr>
          <w:ilvl w:val="0"/>
          <w:numId w:val="5"/>
        </w:numPr>
        <w:rPr>
          <w:b/>
          <w:bCs/>
        </w:rPr>
      </w:pPr>
      <w:r>
        <w:t>Any district approved assessment instrument</w:t>
      </w:r>
    </w:p>
    <w:p w:rsidR="0084042E" w:rsidRPr="00264908" w:rsidRDefault="0084042E" w:rsidP="0084042E">
      <w:pPr>
        <w:ind w:left="720"/>
        <w:rPr>
          <w:b/>
          <w:bCs/>
        </w:rPr>
      </w:pPr>
    </w:p>
    <w:p w:rsidR="0084042E" w:rsidRPr="00264908" w:rsidRDefault="0084042E" w:rsidP="0084042E">
      <w:pPr>
        <w:rPr>
          <w:b/>
          <w:bCs/>
          <w:sz w:val="16"/>
          <w:szCs w:val="16"/>
        </w:rPr>
      </w:pPr>
    </w:p>
    <w:p w:rsidR="0084042E" w:rsidRDefault="0084042E" w:rsidP="0084042E">
      <w:pPr>
        <w:pStyle w:val="BodyText"/>
        <w:tabs>
          <w:tab w:val="left" w:pos="2880"/>
          <w:tab w:val="center" w:pos="3240"/>
          <w:tab w:val="left" w:pos="3600"/>
          <w:tab w:val="left" w:pos="4320"/>
          <w:tab w:val="center" w:pos="4680"/>
          <w:tab w:val="left" w:pos="5040"/>
        </w:tabs>
        <w:spacing w:line="240" w:lineRule="auto"/>
      </w:pPr>
    </w:p>
    <w:p w:rsidR="0084042E" w:rsidRPr="003A6664" w:rsidRDefault="0084042E" w:rsidP="0084042E">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Pr="003A6664" w:rsidRDefault="0084042E" w:rsidP="0084042E">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Default="0084042E" w:rsidP="0084042E">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None</w:t>
      </w:r>
    </w:p>
    <w:p w:rsidR="0084042E" w:rsidRPr="00264908" w:rsidRDefault="0084042E" w:rsidP="0084042E">
      <w:pPr>
        <w:pStyle w:val="BodyText"/>
        <w:tabs>
          <w:tab w:val="left" w:pos="2640"/>
        </w:tabs>
        <w:spacing w:line="240" w:lineRule="auto"/>
        <w:rPr>
          <w:b w:val="0"/>
          <w:bCs w:val="0"/>
          <w:sz w:val="16"/>
          <w:szCs w:val="16"/>
        </w:rPr>
      </w:pPr>
    </w:p>
    <w:p w:rsidR="0084042E" w:rsidRDefault="0084042E" w:rsidP="0084042E">
      <w:pPr>
        <w:spacing w:line="360" w:lineRule="auto"/>
        <w:rPr>
          <w:b/>
          <w:bCs/>
        </w:rPr>
      </w:pPr>
      <w:r w:rsidRPr="003A6664">
        <w:rPr>
          <w:b/>
          <w:bCs/>
        </w:rPr>
        <w:t xml:space="preserve">WRITING TEAM:  </w:t>
      </w:r>
    </w:p>
    <w:p w:rsidR="0084042E" w:rsidRDefault="0084042E" w:rsidP="0084042E">
      <w:pPr>
        <w:spacing w:line="360" w:lineRule="auto"/>
        <w:rPr>
          <w:bCs/>
        </w:rPr>
      </w:pPr>
      <w:r>
        <w:rPr>
          <w:b/>
          <w:bCs/>
        </w:rPr>
        <w:t>Tiffany Mandeville with input from teachers across the district.</w:t>
      </w:r>
    </w:p>
    <w:p w:rsidR="0084042E" w:rsidRDefault="0084042E" w:rsidP="0084042E">
      <w:pPr>
        <w:pStyle w:val="Heading1"/>
        <w:tabs>
          <w:tab w:val="left" w:pos="720"/>
        </w:tabs>
        <w:spacing w:line="360" w:lineRule="auto"/>
        <w:rPr>
          <w:sz w:val="24"/>
        </w:rPr>
      </w:pPr>
      <w:r w:rsidRPr="00264908">
        <w:rPr>
          <w:sz w:val="24"/>
        </w:rPr>
        <w:t>WCSD STUDENT DATA SYSTEM INFORMATION</w:t>
      </w:r>
    </w:p>
    <w:p w:rsidR="0084042E" w:rsidRPr="007D6430" w:rsidRDefault="0084042E" w:rsidP="0084042E"/>
    <w:p w:rsidR="0084042E" w:rsidRPr="00264908" w:rsidRDefault="0084042E" w:rsidP="0084042E">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4"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4"/>
      <w:r w:rsidRPr="00264908">
        <w:rPr>
          <w:u w:val="single"/>
        </w:rPr>
        <w:tab/>
      </w:r>
      <w:r w:rsidRPr="00264908">
        <w:t xml:space="preserve"> No</w:t>
      </w:r>
    </w:p>
    <w:p w:rsidR="0084042E" w:rsidRPr="00264908" w:rsidRDefault="0084042E" w:rsidP="0084042E">
      <w:pPr>
        <w:tabs>
          <w:tab w:val="left" w:pos="720"/>
        </w:tabs>
        <w:spacing w:line="360" w:lineRule="auto"/>
      </w:pPr>
      <w:r w:rsidRPr="00264908">
        <w:lastRenderedPageBreak/>
        <w:tab/>
        <w:t xml:space="preserve">2.  Does this course issue a mark/grade for the report card? </w:t>
      </w:r>
    </w:p>
    <w:p w:rsidR="0084042E" w:rsidRPr="00264908" w:rsidRDefault="0084042E" w:rsidP="0084042E">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5"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5"/>
      <w:r w:rsidRPr="00264908">
        <w:rPr>
          <w:u w:val="single"/>
        </w:rPr>
        <w:tab/>
      </w:r>
      <w:r w:rsidRPr="00264908">
        <w:t xml:space="preserve"> No</w:t>
      </w:r>
    </w:p>
    <w:p w:rsidR="0084042E" w:rsidRPr="00264908" w:rsidRDefault="0084042E" w:rsidP="0084042E">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6"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Yes</w:t>
      </w:r>
      <w:r w:rsidRPr="00264908">
        <w:tab/>
      </w:r>
      <w:r w:rsidRPr="00264908">
        <w:rPr>
          <w:u w:val="single"/>
        </w:rPr>
        <w:tab/>
      </w:r>
      <w:r w:rsidR="005616EC">
        <w:rPr>
          <w:u w:val="single"/>
        </w:rPr>
        <w:t>X</w:t>
      </w:r>
      <w:r w:rsidRPr="00264908">
        <w:rPr>
          <w:u w:val="single"/>
        </w:rPr>
        <w:tab/>
      </w:r>
      <w:r w:rsidRPr="00264908">
        <w:t xml:space="preserve"> No</w:t>
      </w:r>
    </w:p>
    <w:p w:rsidR="0084042E" w:rsidRPr="00264908" w:rsidRDefault="0084042E" w:rsidP="0084042E">
      <w:pPr>
        <w:numPr>
          <w:ilvl w:val="0"/>
          <w:numId w:val="2"/>
        </w:numPr>
        <w:tabs>
          <w:tab w:val="left" w:pos="720"/>
          <w:tab w:val="left" w:pos="1320"/>
          <w:tab w:val="left" w:pos="6480"/>
        </w:tabs>
        <w:spacing w:line="360" w:lineRule="auto"/>
      </w:pPr>
      <w:r w:rsidRPr="00264908">
        <w:t>Is the course mark/grade part of the GPA calculation?</w:t>
      </w:r>
    </w:p>
    <w:p w:rsidR="0084042E" w:rsidRPr="00264908" w:rsidRDefault="0084042E" w:rsidP="0084042E">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7"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 xml:space="preserve"> No</w:t>
      </w:r>
    </w:p>
    <w:p w:rsidR="0084042E" w:rsidRPr="00264908" w:rsidRDefault="0084042E" w:rsidP="0084042E">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8"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 xml:space="preserve"> No</w:t>
      </w:r>
    </w:p>
    <w:p w:rsidR="0084042E" w:rsidRPr="00264908" w:rsidRDefault="0084042E" w:rsidP="0084042E">
      <w:pPr>
        <w:numPr>
          <w:ilvl w:val="0"/>
          <w:numId w:val="1"/>
        </w:numPr>
        <w:tabs>
          <w:tab w:val="left" w:pos="720"/>
          <w:tab w:val="left" w:pos="6480"/>
        </w:tabs>
        <w:spacing w:line="360" w:lineRule="auto"/>
      </w:pPr>
      <w:r w:rsidRPr="00264908">
        <w:t>What is the academic weight of the course?</w:t>
      </w:r>
      <w:r w:rsidRPr="00264908">
        <w:tab/>
      </w:r>
    </w:p>
    <w:p w:rsidR="0084042E" w:rsidRPr="00264908" w:rsidRDefault="0084042E" w:rsidP="0084042E">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5616EC">
        <w:rPr>
          <w:u w:val="single"/>
        </w:rPr>
        <w:t>X</w:t>
      </w:r>
      <w:r w:rsidRPr="00264908">
        <w:rPr>
          <w:u w:val="single"/>
        </w:rPr>
        <w:tab/>
      </w:r>
      <w:r w:rsidRPr="00264908">
        <w:t xml:space="preserve"> Standard weight</w:t>
      </w:r>
    </w:p>
    <w:p w:rsidR="0084042E" w:rsidRPr="00264908" w:rsidRDefault="0084042E" w:rsidP="0084042E">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84042E" w:rsidRDefault="0084042E" w:rsidP="0084042E"/>
    <w:p w:rsidR="0084042E" w:rsidRDefault="0084042E" w:rsidP="0084042E">
      <w:bookmarkStart w:id="9" w:name="_GoBack"/>
      <w:bookmarkEnd w:id="9"/>
    </w:p>
    <w:sectPr w:rsidR="0084042E" w:rsidSect="00127035">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DB" w:rsidRDefault="00FE24DB">
      <w:r>
        <w:separator/>
      </w:r>
    </w:p>
  </w:endnote>
  <w:endnote w:type="continuationSeparator" w:id="0">
    <w:p w:rsidR="00FE24DB" w:rsidRDefault="00F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0B13D3">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0B13D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DB" w:rsidRDefault="00FE24DB">
      <w:r>
        <w:separator/>
      </w:r>
    </w:p>
  </w:footnote>
  <w:footnote w:type="continuationSeparator" w:id="0">
    <w:p w:rsidR="00FE24DB" w:rsidRDefault="00FE2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E"/>
    <w:rsid w:val="000B13D3"/>
    <w:rsid w:val="000D34BE"/>
    <w:rsid w:val="00127035"/>
    <w:rsid w:val="00207C9F"/>
    <w:rsid w:val="00245041"/>
    <w:rsid w:val="00317789"/>
    <w:rsid w:val="00344D4C"/>
    <w:rsid w:val="00425BE3"/>
    <w:rsid w:val="005616EC"/>
    <w:rsid w:val="006273C9"/>
    <w:rsid w:val="006A2BAC"/>
    <w:rsid w:val="0084042E"/>
    <w:rsid w:val="00AF08A1"/>
    <w:rsid w:val="00FE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5E09CF"/>
  <w15:docId w15:val="{6E4D1824-81F7-421D-B07E-4AB4CF05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42E"/>
    <w:pPr>
      <w:keepNext/>
      <w:jc w:val="center"/>
      <w:outlineLvl w:val="0"/>
    </w:pPr>
    <w:rPr>
      <w:b/>
      <w:bCs/>
      <w:sz w:val="28"/>
    </w:rPr>
  </w:style>
  <w:style w:type="paragraph" w:styleId="Heading2">
    <w:name w:val="heading 2"/>
    <w:basedOn w:val="Normal"/>
    <w:next w:val="Normal"/>
    <w:link w:val="Heading2Char"/>
    <w:qFormat/>
    <w:rsid w:val="0084042E"/>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42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4042E"/>
    <w:rPr>
      <w:rFonts w:ascii="Times New Roman" w:eastAsia="Times New Roman" w:hAnsi="Times New Roman" w:cs="Times New Roman"/>
      <w:b/>
      <w:bCs/>
      <w:sz w:val="24"/>
      <w:szCs w:val="24"/>
    </w:rPr>
  </w:style>
  <w:style w:type="paragraph" w:styleId="Title">
    <w:name w:val="Title"/>
    <w:basedOn w:val="Normal"/>
    <w:link w:val="TitleChar"/>
    <w:qFormat/>
    <w:rsid w:val="0084042E"/>
    <w:pPr>
      <w:jc w:val="center"/>
    </w:pPr>
    <w:rPr>
      <w:b/>
      <w:bCs/>
    </w:rPr>
  </w:style>
  <w:style w:type="character" w:customStyle="1" w:styleId="TitleChar">
    <w:name w:val="Title Char"/>
    <w:basedOn w:val="DefaultParagraphFont"/>
    <w:link w:val="Title"/>
    <w:rsid w:val="0084042E"/>
    <w:rPr>
      <w:rFonts w:ascii="Times New Roman" w:eastAsia="Times New Roman" w:hAnsi="Times New Roman" w:cs="Times New Roman"/>
      <w:b/>
      <w:bCs/>
      <w:sz w:val="24"/>
      <w:szCs w:val="24"/>
    </w:rPr>
  </w:style>
  <w:style w:type="paragraph" w:styleId="Subtitle">
    <w:name w:val="Subtitle"/>
    <w:basedOn w:val="Normal"/>
    <w:link w:val="SubtitleChar"/>
    <w:qFormat/>
    <w:rsid w:val="0084042E"/>
    <w:pPr>
      <w:jc w:val="center"/>
    </w:pPr>
    <w:rPr>
      <w:b/>
      <w:bCs/>
    </w:rPr>
  </w:style>
  <w:style w:type="character" w:customStyle="1" w:styleId="SubtitleChar">
    <w:name w:val="Subtitle Char"/>
    <w:basedOn w:val="DefaultParagraphFont"/>
    <w:link w:val="Subtitle"/>
    <w:rsid w:val="0084042E"/>
    <w:rPr>
      <w:rFonts w:ascii="Times New Roman" w:eastAsia="Times New Roman" w:hAnsi="Times New Roman" w:cs="Times New Roman"/>
      <w:b/>
      <w:bCs/>
      <w:sz w:val="24"/>
      <w:szCs w:val="24"/>
    </w:rPr>
  </w:style>
  <w:style w:type="paragraph" w:styleId="BodyText">
    <w:name w:val="Body Text"/>
    <w:basedOn w:val="Normal"/>
    <w:link w:val="BodyTextChar"/>
    <w:rsid w:val="0084042E"/>
    <w:pPr>
      <w:spacing w:line="360" w:lineRule="auto"/>
    </w:pPr>
    <w:rPr>
      <w:b/>
      <w:bCs/>
    </w:rPr>
  </w:style>
  <w:style w:type="character" w:customStyle="1" w:styleId="BodyTextChar">
    <w:name w:val="Body Text Char"/>
    <w:basedOn w:val="DefaultParagraphFont"/>
    <w:link w:val="BodyText"/>
    <w:rsid w:val="0084042E"/>
    <w:rPr>
      <w:rFonts w:ascii="Times New Roman" w:eastAsia="Times New Roman" w:hAnsi="Times New Roman" w:cs="Times New Roman"/>
      <w:b/>
      <w:bCs/>
      <w:sz w:val="24"/>
      <w:szCs w:val="24"/>
    </w:rPr>
  </w:style>
  <w:style w:type="paragraph" w:styleId="Header">
    <w:name w:val="header"/>
    <w:basedOn w:val="Normal"/>
    <w:link w:val="HeaderChar"/>
    <w:rsid w:val="0084042E"/>
    <w:pPr>
      <w:tabs>
        <w:tab w:val="center" w:pos="4320"/>
        <w:tab w:val="right" w:pos="8640"/>
      </w:tabs>
    </w:pPr>
  </w:style>
  <w:style w:type="character" w:customStyle="1" w:styleId="HeaderChar">
    <w:name w:val="Header Char"/>
    <w:basedOn w:val="DefaultParagraphFont"/>
    <w:link w:val="Header"/>
    <w:rsid w:val="0084042E"/>
    <w:rPr>
      <w:rFonts w:ascii="Times New Roman" w:eastAsia="Times New Roman" w:hAnsi="Times New Roman" w:cs="Times New Roman"/>
      <w:sz w:val="24"/>
      <w:szCs w:val="24"/>
    </w:rPr>
  </w:style>
  <w:style w:type="paragraph" w:styleId="Footer">
    <w:name w:val="footer"/>
    <w:basedOn w:val="Normal"/>
    <w:link w:val="FooterChar"/>
    <w:rsid w:val="0084042E"/>
    <w:pPr>
      <w:tabs>
        <w:tab w:val="center" w:pos="4320"/>
        <w:tab w:val="right" w:pos="8640"/>
      </w:tabs>
    </w:pPr>
  </w:style>
  <w:style w:type="character" w:customStyle="1" w:styleId="FooterChar">
    <w:name w:val="Footer Char"/>
    <w:basedOn w:val="DefaultParagraphFont"/>
    <w:link w:val="Footer"/>
    <w:rsid w:val="0084042E"/>
    <w:rPr>
      <w:rFonts w:ascii="Times New Roman" w:eastAsia="Times New Roman" w:hAnsi="Times New Roman" w:cs="Times New Roman"/>
      <w:sz w:val="24"/>
      <w:szCs w:val="24"/>
    </w:rPr>
  </w:style>
  <w:style w:type="character" w:styleId="PageNumber">
    <w:name w:val="page number"/>
    <w:basedOn w:val="DefaultParagraphFont"/>
    <w:rsid w:val="0084042E"/>
  </w:style>
  <w:style w:type="table" w:styleId="TableGrid">
    <w:name w:val="Table Grid"/>
    <w:basedOn w:val="TableNormal"/>
    <w:uiPriority w:val="59"/>
    <w:rsid w:val="008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4</cp:revision>
  <cp:lastPrinted>2017-08-30T18:59:00Z</cp:lastPrinted>
  <dcterms:created xsi:type="dcterms:W3CDTF">2017-08-30T18:58:00Z</dcterms:created>
  <dcterms:modified xsi:type="dcterms:W3CDTF">2017-08-30T19:05:00Z</dcterms:modified>
</cp:coreProperties>
</file>