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00BB5DF1">
        <w:rPr>
          <w:b w:val="0"/>
        </w:rPr>
        <w:t>Science Fiction/ Fantasy</w:t>
      </w:r>
      <w:r w:rsidRPr="003A6664">
        <w:tab/>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Pr="003A6664">
        <w:rPr>
          <w:b/>
          <w:bCs/>
        </w:rPr>
        <w:tab/>
      </w:r>
      <w:r w:rsidR="00BB5DF1">
        <w:rPr>
          <w:bCs/>
        </w:rPr>
        <w:t>00099</w:t>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b/>
          <w:bCs/>
        </w:rPr>
      </w:pPr>
      <w:r>
        <w:rPr>
          <w:b/>
          <w:bCs/>
        </w:rPr>
        <w:t xml:space="preserve">Course Prerequisites: </w:t>
      </w:r>
      <w:r w:rsidR="009D6E84" w:rsidRPr="008024B3">
        <w:rPr>
          <w:bCs/>
        </w:rPr>
        <w:t>None</w:t>
      </w:r>
    </w:p>
    <w:p w:rsidR="008B01D9" w:rsidRDefault="008B01D9" w:rsidP="001F6476">
      <w:pPr>
        <w:autoSpaceDE w:val="0"/>
        <w:autoSpaceDN w:val="0"/>
        <w:adjustRightInd w:val="0"/>
        <w:rPr>
          <w:rFonts w:ascii="TimesNewRomanPSMT" w:eastAsiaTheme="minorHAnsi" w:hAnsi="TimesNewRomanPSMT" w:cs="TimesNewRomanPSMT"/>
          <w:sz w:val="23"/>
          <w:szCs w:val="23"/>
        </w:rPr>
      </w:pPr>
    </w:p>
    <w:p w:rsidR="000006E0" w:rsidRPr="00297414" w:rsidRDefault="001F6476" w:rsidP="000006E0">
      <w:pPr>
        <w:autoSpaceDE w:val="0"/>
        <w:autoSpaceDN w:val="0"/>
        <w:adjustRightInd w:val="0"/>
        <w:rPr>
          <w:rFonts w:eastAsiaTheme="minorHAnsi"/>
          <w:sz w:val="23"/>
          <w:szCs w:val="23"/>
        </w:rPr>
      </w:pPr>
      <w:r w:rsidRPr="00097239">
        <w:rPr>
          <w:b/>
        </w:rPr>
        <w:t>Course Description:</w:t>
      </w:r>
      <w:r w:rsidRPr="00097239">
        <w:t xml:space="preserve">  </w:t>
      </w:r>
      <w:r w:rsidR="00BB5DF1">
        <w:rPr>
          <w:color w:val="000000"/>
          <w:sz w:val="23"/>
          <w:szCs w:val="23"/>
        </w:rPr>
        <w:t xml:space="preserve">This course covers the development of the science fiction </w:t>
      </w:r>
      <w:r w:rsidR="00007114">
        <w:rPr>
          <w:color w:val="000000"/>
          <w:sz w:val="23"/>
          <w:szCs w:val="23"/>
        </w:rPr>
        <w:t>and fantasy genres. Students will explore timeless themes and age-old conflicts of the human experience.  Students will be required to read, discuss, and write about a selection of novels, stories, and plays.</w:t>
      </w:r>
    </w:p>
    <w:p w:rsidR="001F6476" w:rsidRDefault="001F6476" w:rsidP="001F6476">
      <w:pPr>
        <w:pStyle w:val="BodyText"/>
        <w:tabs>
          <w:tab w:val="left" w:pos="3000"/>
          <w:tab w:val="center" w:pos="4080"/>
          <w:tab w:val="left" w:pos="5040"/>
        </w:tabs>
        <w:spacing w:line="240" w:lineRule="auto"/>
      </w:pPr>
    </w:p>
    <w:p w:rsidR="001F6476" w:rsidRPr="008B01D9" w:rsidRDefault="001F6476" w:rsidP="001F6476">
      <w:pPr>
        <w:pStyle w:val="BodyText"/>
        <w:tabs>
          <w:tab w:val="left" w:pos="3000"/>
          <w:tab w:val="center" w:pos="4080"/>
          <w:tab w:val="left" w:pos="5040"/>
        </w:tabs>
        <w:spacing w:line="240" w:lineRule="auto"/>
        <w:rPr>
          <w:b w:val="0"/>
          <w:u w:val="single"/>
        </w:rPr>
      </w:pPr>
      <w:r w:rsidRPr="003A6664">
        <w:t>Suggested Grade Level</w:t>
      </w:r>
      <w:r w:rsidRPr="008024B3">
        <w:rPr>
          <w:b w:val="0"/>
        </w:rPr>
        <w:t xml:space="preserve">: </w:t>
      </w:r>
      <w:r w:rsidR="008B01D9" w:rsidRPr="008024B3">
        <w:rPr>
          <w:b w:val="0"/>
        </w:rPr>
        <w:t>9-12</w:t>
      </w:r>
      <w:r w:rsidRPr="008024B3">
        <w:rPr>
          <w:b w:val="0"/>
        </w:rPr>
        <w:tab/>
      </w: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Pr="008B01D9" w:rsidRDefault="001F6476" w:rsidP="008B01D9">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009D6E84">
        <w:rPr>
          <w:bCs/>
          <w:u w:val="single"/>
        </w:rPr>
        <w:t>X</w:t>
      </w:r>
      <w:r w:rsidRPr="003A6664">
        <w:rPr>
          <w:u w:val="single"/>
        </w:rPr>
        <w:tab/>
      </w:r>
      <w:r w:rsidRPr="003A6664">
        <w:t xml:space="preserve"> One Semester</w:t>
      </w:r>
      <w:r w:rsidRPr="003A6664">
        <w:tab/>
      </w:r>
      <w:r w:rsidRPr="003A6664">
        <w:rPr>
          <w:u w:val="single"/>
        </w:rPr>
        <w:tab/>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9D6E84">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CSPG</w:t>
      </w:r>
      <w:r w:rsidR="009D6E84">
        <w:rPr>
          <w:b w:val="0"/>
          <w:u w:val="single"/>
        </w:rPr>
        <w:t xml:space="preserve"> 42</w:t>
      </w:r>
      <w:r w:rsidRPr="00EE754F">
        <w:rPr>
          <w:b w:val="0"/>
          <w:u w:val="single"/>
        </w:rPr>
        <w:t xml:space="preserve"> </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8B01D9" w:rsidRDefault="001F6476" w:rsidP="008B01D9">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sidR="009D6E84">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F6476" w:rsidRDefault="001F6476" w:rsidP="001F6476">
      <w:pPr>
        <w:pStyle w:val="BodyText"/>
        <w:spacing w:line="240" w:lineRule="auto"/>
      </w:pPr>
      <w:r w:rsidRPr="003A6664">
        <w:t xml:space="preserve">Title:  </w:t>
      </w: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1F6476" w:rsidRDefault="001F6476" w:rsidP="001F6476">
      <w:pPr>
        <w:pStyle w:val="BodyText"/>
        <w:spacing w:line="240" w:lineRule="auto"/>
      </w:pPr>
      <w:r w:rsidRPr="003A6664">
        <w:t xml:space="preserve">Publisher:  </w:t>
      </w:r>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1F6476" w:rsidRPr="003A6664" w:rsidRDefault="001F6476" w:rsidP="001F6476">
      <w:pPr>
        <w:pStyle w:val="BodyText"/>
        <w:spacing w:line="240" w:lineRule="auto"/>
      </w:pPr>
      <w:r w:rsidRPr="003A6664">
        <w:t>ISBN #:</w:t>
      </w:r>
      <w:r>
        <w:t xml:space="preserve"> </w:t>
      </w:r>
      <w:r>
        <w:fldChar w:fldCharType="begin">
          <w:ffData>
            <w:name w:val="Text71"/>
            <w:enabled/>
            <w:calcOnExit w:val="0"/>
            <w:textInput/>
          </w:ffData>
        </w:fldChar>
      </w:r>
      <w:bookmarkStart w:id="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F6476" w:rsidRPr="003A6664" w:rsidRDefault="001F6476" w:rsidP="001F6476">
      <w:pPr>
        <w:pStyle w:val="BodyText"/>
        <w:spacing w:line="240" w:lineRule="auto"/>
      </w:pPr>
      <w:r w:rsidRPr="003A6664">
        <w:t>Copyright Date:</w:t>
      </w:r>
      <w:r>
        <w:t xml:space="preserve"> </w:t>
      </w:r>
      <w:r>
        <w:fldChar w:fldCharType="begin">
          <w:ffData>
            <w:name w:val="Text72"/>
            <w:enabled/>
            <w:calcOnExit w:val="0"/>
            <w:textInput/>
          </w:ffData>
        </w:fldChar>
      </w:r>
      <w:bookmarkStart w:id="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1F6476" w:rsidRPr="003A6664" w:rsidRDefault="001F6476" w:rsidP="001F6476">
      <w:pPr>
        <w:pStyle w:val="BodyText"/>
        <w:spacing w:line="240" w:lineRule="auto"/>
      </w:pPr>
      <w:r w:rsidRPr="003A6664">
        <w:t xml:space="preserve">Date of WCSD Board Approval:  </w:t>
      </w:r>
      <w:r>
        <w:fldChar w:fldCharType="begin">
          <w:ffData>
            <w:name w:val="Text73"/>
            <w:enabled/>
            <w:calcOnExit w:val="0"/>
            <w:textInput/>
          </w:ffData>
        </w:fldChar>
      </w:r>
      <w:bookmarkStart w:id="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1F6476" w:rsidRDefault="001F6476" w:rsidP="001F6476">
      <w:pPr>
        <w:pStyle w:val="BodyText"/>
        <w:spacing w:line="240" w:lineRule="auto"/>
        <w:rPr>
          <w:u w:val="single"/>
        </w:rPr>
      </w:pPr>
    </w:p>
    <w:p w:rsidR="008B01D9" w:rsidRDefault="008B01D9" w:rsidP="001F6476">
      <w:pPr>
        <w:pStyle w:val="BodyText"/>
        <w:spacing w:line="240" w:lineRule="auto"/>
        <w:rPr>
          <w:u w:val="single"/>
        </w:rPr>
      </w:pPr>
    </w:p>
    <w:p w:rsidR="001F6476" w:rsidRDefault="00290C6A" w:rsidP="001F6476">
      <w:pPr>
        <w:pStyle w:val="BodyText"/>
        <w:spacing w:line="240" w:lineRule="auto"/>
      </w:pPr>
      <w:r w:rsidRPr="008B01D9">
        <w:t>Required/Suggested Reading:</w:t>
      </w:r>
      <w:r w:rsidR="009D6E84" w:rsidRPr="008B01D9">
        <w:t xml:space="preserve"> </w:t>
      </w:r>
    </w:p>
    <w:p w:rsidR="00F80293" w:rsidRPr="008B01D9" w:rsidRDefault="00F80293" w:rsidP="00F80293">
      <w:pPr>
        <w:pStyle w:val="BodyText"/>
        <w:numPr>
          <w:ilvl w:val="0"/>
          <w:numId w:val="8"/>
        </w:numPr>
        <w:spacing w:line="240" w:lineRule="auto"/>
      </w:pPr>
      <w:r>
        <w:lastRenderedPageBreak/>
        <w:t>Minimum of one science fiction work listed below:</w:t>
      </w:r>
    </w:p>
    <w:p w:rsidR="009D6E84" w:rsidRDefault="00F80293" w:rsidP="009D6E84">
      <w:pPr>
        <w:pStyle w:val="BodyText"/>
        <w:numPr>
          <w:ilvl w:val="0"/>
          <w:numId w:val="7"/>
        </w:numPr>
        <w:spacing w:line="240" w:lineRule="auto"/>
        <w:rPr>
          <w:b w:val="0"/>
        </w:rPr>
      </w:pPr>
      <w:r>
        <w:rPr>
          <w:b w:val="0"/>
          <w:i/>
        </w:rPr>
        <w:t>Rendezvous with Rama</w:t>
      </w:r>
      <w:r w:rsidR="009D6E84">
        <w:rPr>
          <w:b w:val="0"/>
        </w:rPr>
        <w:t xml:space="preserve"> – </w:t>
      </w:r>
      <w:r>
        <w:rPr>
          <w:b w:val="0"/>
        </w:rPr>
        <w:t>Arthur C. Clarke</w:t>
      </w:r>
    </w:p>
    <w:p w:rsidR="009D6E84" w:rsidRDefault="00F80293" w:rsidP="009D6E84">
      <w:pPr>
        <w:pStyle w:val="BodyText"/>
        <w:numPr>
          <w:ilvl w:val="0"/>
          <w:numId w:val="7"/>
        </w:numPr>
        <w:spacing w:line="240" w:lineRule="auto"/>
        <w:rPr>
          <w:b w:val="0"/>
        </w:rPr>
      </w:pPr>
      <w:r>
        <w:rPr>
          <w:b w:val="0"/>
          <w:i/>
        </w:rPr>
        <w:t>The Martian Chronicles</w:t>
      </w:r>
      <w:r w:rsidR="009D6E84">
        <w:rPr>
          <w:b w:val="0"/>
        </w:rPr>
        <w:t xml:space="preserve"> – </w:t>
      </w:r>
      <w:r>
        <w:rPr>
          <w:b w:val="0"/>
        </w:rPr>
        <w:t>Ray Bradbury</w:t>
      </w:r>
    </w:p>
    <w:p w:rsidR="009D6E84" w:rsidRDefault="00F80293" w:rsidP="009D6E84">
      <w:pPr>
        <w:pStyle w:val="BodyText"/>
        <w:numPr>
          <w:ilvl w:val="0"/>
          <w:numId w:val="7"/>
        </w:numPr>
        <w:spacing w:line="240" w:lineRule="auto"/>
        <w:rPr>
          <w:b w:val="0"/>
        </w:rPr>
      </w:pPr>
      <w:r>
        <w:rPr>
          <w:b w:val="0"/>
          <w:i/>
        </w:rPr>
        <w:t>Foundation</w:t>
      </w:r>
      <w:r w:rsidR="009D6E84">
        <w:rPr>
          <w:b w:val="0"/>
          <w:i/>
        </w:rPr>
        <w:t xml:space="preserve"> </w:t>
      </w:r>
      <w:r w:rsidR="009D6E84">
        <w:rPr>
          <w:b w:val="0"/>
        </w:rPr>
        <w:t xml:space="preserve">– </w:t>
      </w:r>
      <w:r>
        <w:rPr>
          <w:b w:val="0"/>
        </w:rPr>
        <w:t>Isaac Asimov</w:t>
      </w:r>
    </w:p>
    <w:p w:rsidR="009D6E84" w:rsidRDefault="00F80293" w:rsidP="009D6E84">
      <w:pPr>
        <w:pStyle w:val="BodyText"/>
        <w:numPr>
          <w:ilvl w:val="0"/>
          <w:numId w:val="7"/>
        </w:numPr>
        <w:spacing w:line="240" w:lineRule="auto"/>
        <w:rPr>
          <w:b w:val="0"/>
        </w:rPr>
      </w:pPr>
      <w:r>
        <w:rPr>
          <w:b w:val="0"/>
          <w:i/>
        </w:rPr>
        <w:t xml:space="preserve">Elric of Melnibone </w:t>
      </w:r>
      <w:r w:rsidRPr="00F80293">
        <w:rPr>
          <w:b w:val="0"/>
        </w:rPr>
        <w:t xml:space="preserve">Series </w:t>
      </w:r>
      <w:r w:rsidR="009D6E84">
        <w:rPr>
          <w:b w:val="0"/>
          <w:i/>
        </w:rPr>
        <w:t xml:space="preserve"> </w:t>
      </w:r>
      <w:r w:rsidR="009D6E84">
        <w:rPr>
          <w:b w:val="0"/>
        </w:rPr>
        <w:t xml:space="preserve">– </w:t>
      </w:r>
      <w:r>
        <w:rPr>
          <w:b w:val="0"/>
        </w:rPr>
        <w:t>Michael Moorcock</w:t>
      </w:r>
    </w:p>
    <w:p w:rsidR="009D6E84" w:rsidRDefault="00F80293" w:rsidP="009D6E84">
      <w:pPr>
        <w:pStyle w:val="BodyText"/>
        <w:numPr>
          <w:ilvl w:val="0"/>
          <w:numId w:val="7"/>
        </w:numPr>
        <w:spacing w:line="240" w:lineRule="auto"/>
        <w:rPr>
          <w:b w:val="0"/>
        </w:rPr>
      </w:pPr>
      <w:r>
        <w:rPr>
          <w:b w:val="0"/>
          <w:i/>
        </w:rPr>
        <w:t xml:space="preserve">Dune </w:t>
      </w:r>
      <w:r w:rsidR="009D6E84">
        <w:rPr>
          <w:b w:val="0"/>
          <w:i/>
        </w:rPr>
        <w:t xml:space="preserve"> </w:t>
      </w:r>
      <w:r w:rsidR="009D6E84">
        <w:rPr>
          <w:b w:val="0"/>
        </w:rPr>
        <w:t xml:space="preserve">– </w:t>
      </w:r>
      <w:r>
        <w:rPr>
          <w:b w:val="0"/>
        </w:rPr>
        <w:t>Frank Herbert</w:t>
      </w:r>
    </w:p>
    <w:p w:rsidR="00F80293" w:rsidRPr="00F80293" w:rsidRDefault="00F80293" w:rsidP="00F80293">
      <w:pPr>
        <w:pStyle w:val="BodyText"/>
        <w:numPr>
          <w:ilvl w:val="0"/>
          <w:numId w:val="8"/>
        </w:numPr>
        <w:spacing w:line="240" w:lineRule="auto"/>
      </w:pPr>
      <w:r w:rsidRPr="00F80293">
        <w:t>Minimum of one fantasy work listed below:</w:t>
      </w:r>
    </w:p>
    <w:p w:rsidR="009D6E84" w:rsidRDefault="00F80293" w:rsidP="009D6E84">
      <w:pPr>
        <w:pStyle w:val="BodyText"/>
        <w:numPr>
          <w:ilvl w:val="0"/>
          <w:numId w:val="7"/>
        </w:numPr>
        <w:spacing w:line="240" w:lineRule="auto"/>
        <w:rPr>
          <w:b w:val="0"/>
        </w:rPr>
      </w:pPr>
      <w:r>
        <w:rPr>
          <w:b w:val="0"/>
          <w:i/>
        </w:rPr>
        <w:t xml:space="preserve">Earthsea </w:t>
      </w:r>
      <w:r w:rsidRPr="00F80293">
        <w:rPr>
          <w:b w:val="0"/>
        </w:rPr>
        <w:t>Series</w:t>
      </w:r>
      <w:r w:rsidR="009D6E84" w:rsidRPr="00F80293">
        <w:rPr>
          <w:b w:val="0"/>
        </w:rPr>
        <w:t xml:space="preserve"> –</w:t>
      </w:r>
      <w:r w:rsidR="009D6E84">
        <w:rPr>
          <w:b w:val="0"/>
        </w:rPr>
        <w:t xml:space="preserve"> </w:t>
      </w:r>
      <w:r>
        <w:rPr>
          <w:b w:val="0"/>
        </w:rPr>
        <w:t>Ursula K. Le Guin</w:t>
      </w:r>
    </w:p>
    <w:p w:rsidR="009D6E84" w:rsidRDefault="00F80293" w:rsidP="009D6E84">
      <w:pPr>
        <w:pStyle w:val="BodyText"/>
        <w:numPr>
          <w:ilvl w:val="0"/>
          <w:numId w:val="7"/>
        </w:numPr>
        <w:spacing w:line="240" w:lineRule="auto"/>
        <w:rPr>
          <w:b w:val="0"/>
        </w:rPr>
      </w:pPr>
      <w:r>
        <w:rPr>
          <w:b w:val="0"/>
          <w:i/>
        </w:rPr>
        <w:t xml:space="preserve">The Chronicles of Narnia </w:t>
      </w:r>
      <w:r w:rsidRPr="00F80293">
        <w:rPr>
          <w:b w:val="0"/>
        </w:rPr>
        <w:t>Series</w:t>
      </w:r>
      <w:r w:rsidR="009D6E84">
        <w:rPr>
          <w:b w:val="0"/>
          <w:i/>
        </w:rPr>
        <w:t xml:space="preserve"> </w:t>
      </w:r>
      <w:r w:rsidR="009D6E84">
        <w:rPr>
          <w:b w:val="0"/>
        </w:rPr>
        <w:t xml:space="preserve">– </w:t>
      </w:r>
      <w:r>
        <w:rPr>
          <w:b w:val="0"/>
        </w:rPr>
        <w:t>C.S. Lewis</w:t>
      </w:r>
    </w:p>
    <w:p w:rsidR="009D6E84" w:rsidRDefault="00F80293" w:rsidP="009D6E84">
      <w:pPr>
        <w:pStyle w:val="BodyText"/>
        <w:numPr>
          <w:ilvl w:val="0"/>
          <w:numId w:val="7"/>
        </w:numPr>
        <w:spacing w:line="240" w:lineRule="auto"/>
        <w:rPr>
          <w:b w:val="0"/>
        </w:rPr>
      </w:pPr>
      <w:r>
        <w:rPr>
          <w:b w:val="0"/>
          <w:i/>
        </w:rPr>
        <w:t xml:space="preserve">The Lord of the Rings </w:t>
      </w:r>
      <w:r w:rsidRPr="00F80293">
        <w:rPr>
          <w:b w:val="0"/>
        </w:rPr>
        <w:t>Trilogy</w:t>
      </w:r>
      <w:r w:rsidR="009D6E84">
        <w:rPr>
          <w:b w:val="0"/>
          <w:i/>
        </w:rPr>
        <w:t xml:space="preserve"> </w:t>
      </w:r>
      <w:r w:rsidR="009D6E84">
        <w:rPr>
          <w:b w:val="0"/>
        </w:rPr>
        <w:t xml:space="preserve">– </w:t>
      </w:r>
      <w:r>
        <w:rPr>
          <w:b w:val="0"/>
        </w:rPr>
        <w:t>J.R.R. Tolkien</w:t>
      </w:r>
    </w:p>
    <w:p w:rsidR="009D6E84" w:rsidRDefault="00F80293" w:rsidP="009D6E84">
      <w:pPr>
        <w:pStyle w:val="BodyText"/>
        <w:numPr>
          <w:ilvl w:val="0"/>
          <w:numId w:val="7"/>
        </w:numPr>
        <w:spacing w:line="240" w:lineRule="auto"/>
        <w:rPr>
          <w:b w:val="0"/>
        </w:rPr>
      </w:pPr>
      <w:r>
        <w:rPr>
          <w:b w:val="0"/>
          <w:i/>
        </w:rPr>
        <w:t xml:space="preserve">Harry Potter </w:t>
      </w:r>
      <w:r w:rsidRPr="00F80293">
        <w:rPr>
          <w:b w:val="0"/>
        </w:rPr>
        <w:t>Series</w:t>
      </w:r>
      <w:r w:rsidR="009D6E84">
        <w:rPr>
          <w:b w:val="0"/>
          <w:i/>
        </w:rPr>
        <w:t xml:space="preserve"> </w:t>
      </w:r>
      <w:r w:rsidR="009D6E84">
        <w:rPr>
          <w:b w:val="0"/>
        </w:rPr>
        <w:t xml:space="preserve">– </w:t>
      </w:r>
      <w:r>
        <w:rPr>
          <w:b w:val="0"/>
        </w:rPr>
        <w:t>J.K. Rowling</w:t>
      </w:r>
    </w:p>
    <w:p w:rsidR="00822F24" w:rsidRPr="00081D2D" w:rsidRDefault="00822F24" w:rsidP="00081D2D">
      <w:pPr>
        <w:pStyle w:val="BodyText"/>
        <w:numPr>
          <w:ilvl w:val="0"/>
          <w:numId w:val="8"/>
        </w:numPr>
        <w:spacing w:line="240" w:lineRule="auto"/>
      </w:pPr>
      <w:r w:rsidRPr="00081D2D">
        <w:t xml:space="preserve">Short stories related to </w:t>
      </w:r>
      <w:r w:rsidR="00081D2D">
        <w:t>the science fiction and fantasy</w:t>
      </w:r>
      <w:r w:rsidRPr="00081D2D">
        <w:t xml:space="preserve"> genre</w:t>
      </w:r>
      <w:r w:rsidR="00081D2D">
        <w:t>s</w:t>
      </w:r>
      <w:r w:rsidRPr="00081D2D">
        <w:t xml:space="preserve"> according to teacher recommendation</w:t>
      </w:r>
    </w:p>
    <w:p w:rsidR="001F6476" w:rsidRDefault="001F6476" w:rsidP="001F6476">
      <w:pPr>
        <w:pStyle w:val="BodyText"/>
        <w:spacing w:line="240" w:lineRule="auto"/>
        <w:rPr>
          <w:u w:val="single"/>
        </w:rPr>
      </w:pPr>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9D6E84">
        <w:rPr>
          <w:b w:val="0"/>
          <w:u w:val="single"/>
        </w:rPr>
        <w:t>10/09/2015</w:t>
      </w:r>
      <w:r w:rsidR="00B406F3">
        <w:rPr>
          <w:b w:val="0"/>
          <w:u w:val="single"/>
        </w:rPr>
        <w:t>; Revision (</w:t>
      </w:r>
      <w:r w:rsidR="00822F24">
        <w:rPr>
          <w:b w:val="0"/>
          <w:u w:val="single"/>
        </w:rPr>
        <w:t>8/21</w:t>
      </w:r>
      <w:r w:rsidR="00B406F3">
        <w:rPr>
          <w:b w:val="0"/>
          <w:u w:val="single"/>
        </w:rPr>
        <w:t>/2017)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920E50">
        <w:rPr>
          <w:b w:val="0"/>
          <w:u w:val="single"/>
        </w:rPr>
        <w:t>September 1</w:t>
      </w:r>
      <w:bookmarkStart w:id="8" w:name="_GoBack"/>
      <w:bookmarkEnd w:id="8"/>
      <w:r w:rsidR="00B406F3">
        <w:rPr>
          <w:b w:val="0"/>
          <w:u w:val="single"/>
        </w:rPr>
        <w:t>,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3600"/>
          <w:tab w:val="center" w:pos="4680"/>
          <w:tab w:val="left" w:pos="5760"/>
        </w:tabs>
        <w:spacing w:line="240" w:lineRule="auto"/>
        <w:rPr>
          <w:b w:val="0"/>
          <w:u w:val="single"/>
        </w:rPr>
      </w:pPr>
      <w:r w:rsidRPr="003A6664">
        <w:tab/>
        <w:t>Implementation Year:</w:t>
      </w:r>
      <w:r w:rsidR="009D6E84">
        <w:t xml:space="preserve"> </w:t>
      </w:r>
      <w:r w:rsidR="00603097">
        <w:rPr>
          <w:b w:val="0"/>
          <w:u w:val="single"/>
        </w:rPr>
        <w:t>2017-2018</w:t>
      </w:r>
    </w:p>
    <w:p w:rsidR="001F6476" w:rsidRPr="003A6664" w:rsidRDefault="001F6476" w:rsidP="001F6476">
      <w:pPr>
        <w:pStyle w:val="BodyText"/>
        <w:spacing w:line="240" w:lineRule="auto"/>
      </w:pPr>
    </w:p>
    <w:p w:rsidR="001F6476" w:rsidRPr="003A6664" w:rsidRDefault="001F6476" w:rsidP="001F6476">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1F6476" w:rsidRPr="003A6664" w:rsidRDefault="001F6476" w:rsidP="001F6476">
      <w:pPr>
        <w:pStyle w:val="BodyText"/>
        <w:spacing w:line="240" w:lineRule="auto"/>
        <w:rPr>
          <w:b w:val="0"/>
          <w:bCs w:val="0"/>
        </w:rPr>
      </w:pP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F6476" w:rsidRDefault="001F6476" w:rsidP="001F6476">
      <w:pPr>
        <w:pStyle w:val="BodyText"/>
        <w:spacing w:line="240" w:lineRule="auto"/>
        <w:jc w:val="center"/>
      </w:pPr>
    </w:p>
    <w:p w:rsidR="001F6476" w:rsidRDefault="001F6476" w:rsidP="001F6476">
      <w:pPr>
        <w:pStyle w:val="BodyText"/>
        <w:spacing w:line="240" w:lineRule="auto"/>
        <w:jc w:val="center"/>
      </w:pPr>
      <w:r w:rsidRPr="003A6664">
        <w:t xml:space="preserve">SPECIFIC EDUCATIONAL </w:t>
      </w:r>
      <w:r w:rsidR="00CE5C4E">
        <w:t xml:space="preserve">STANDARDS, </w:t>
      </w:r>
      <w:r>
        <w:t xml:space="preserve"> CONTENT, &amp; SKILLS</w:t>
      </w:r>
    </w:p>
    <w:tbl>
      <w:tblPr>
        <w:tblStyle w:val="TableGrid"/>
        <w:tblW w:w="13878" w:type="dxa"/>
        <w:tblLayout w:type="fixed"/>
        <w:tblLook w:val="04A0" w:firstRow="1" w:lastRow="0" w:firstColumn="1" w:lastColumn="0" w:noHBand="0" w:noVBand="1"/>
      </w:tblPr>
      <w:tblGrid>
        <w:gridCol w:w="6588"/>
        <w:gridCol w:w="1710"/>
        <w:gridCol w:w="5580"/>
      </w:tblGrid>
      <w:tr w:rsidR="008B01D9" w:rsidRPr="00EF078D" w:rsidTr="006D79CC">
        <w:trPr>
          <w:trHeight w:val="281"/>
        </w:trPr>
        <w:tc>
          <w:tcPr>
            <w:tcW w:w="13878" w:type="dxa"/>
            <w:gridSpan w:val="3"/>
          </w:tcPr>
          <w:p w:rsidR="008B01D9" w:rsidRPr="00EF078D" w:rsidRDefault="008B01D9" w:rsidP="006D79CC">
            <w:pPr>
              <w:rPr>
                <w:b/>
                <w:sz w:val="20"/>
                <w:szCs w:val="20"/>
              </w:rPr>
            </w:pPr>
            <w:r>
              <w:rPr>
                <w:b/>
                <w:sz w:val="20"/>
                <w:szCs w:val="20"/>
              </w:rPr>
              <w:t xml:space="preserve">Assessment Anchor and Anchor Descriptor: </w:t>
            </w:r>
            <w:r w:rsidRPr="00EF078D">
              <w:rPr>
                <w:b/>
                <w:sz w:val="20"/>
                <w:szCs w:val="20"/>
              </w:rPr>
              <w:t>1.3 Reading Literature</w:t>
            </w:r>
          </w:p>
          <w:p w:rsidR="008B01D9" w:rsidRPr="00EF078D" w:rsidRDefault="008B01D9" w:rsidP="006D79CC">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8B01D9" w:rsidRPr="00EF078D" w:rsidRDefault="008B01D9" w:rsidP="006D79CC">
            <w:pPr>
              <w:rPr>
                <w:rFonts w:eastAsiaTheme="minorHAnsi"/>
                <w:sz w:val="20"/>
                <w:szCs w:val="20"/>
              </w:rPr>
            </w:pPr>
          </w:p>
        </w:tc>
      </w:tr>
      <w:tr w:rsidR="008B01D9" w:rsidRPr="00906451" w:rsidTr="006D79CC">
        <w:trPr>
          <w:trHeight w:val="281"/>
        </w:trPr>
        <w:tc>
          <w:tcPr>
            <w:tcW w:w="6588" w:type="dxa"/>
          </w:tcPr>
          <w:p w:rsidR="008B01D9" w:rsidRDefault="008B01D9" w:rsidP="006D79CC">
            <w:pPr>
              <w:rPr>
                <w:rFonts w:eastAsiaTheme="minorHAnsi"/>
                <w:sz w:val="20"/>
                <w:szCs w:val="20"/>
              </w:rPr>
            </w:pPr>
            <w:r w:rsidRPr="00EF078D">
              <w:rPr>
                <w:rFonts w:eastAsiaTheme="minorHAnsi"/>
                <w:b/>
                <w:sz w:val="20"/>
                <w:szCs w:val="20"/>
              </w:rPr>
              <w:t>PA Core Standard</w:t>
            </w:r>
            <w:r>
              <w:rPr>
                <w:rFonts w:eastAsiaTheme="minorHAnsi"/>
                <w:b/>
                <w:sz w:val="20"/>
                <w:szCs w:val="20"/>
              </w:rPr>
              <w:t xml:space="preserve">: </w:t>
            </w:r>
          </w:p>
          <w:p w:rsidR="008B01D9" w:rsidRPr="00EF078D" w:rsidRDefault="008B01D9" w:rsidP="006D79CC">
            <w:pPr>
              <w:rPr>
                <w:b/>
                <w:sz w:val="20"/>
                <w:szCs w:val="20"/>
              </w:rPr>
            </w:pPr>
            <w:r w:rsidRPr="00EF078D">
              <w:rPr>
                <w:b/>
                <w:sz w:val="20"/>
                <w:szCs w:val="20"/>
              </w:rPr>
              <w:t>CC.1.3.11–12.A</w:t>
            </w:r>
          </w:p>
          <w:p w:rsidR="008B01D9" w:rsidRPr="00EF078D" w:rsidRDefault="008B01D9" w:rsidP="006D79CC">
            <w:pPr>
              <w:rPr>
                <w:sz w:val="20"/>
                <w:szCs w:val="20"/>
              </w:rPr>
            </w:pPr>
            <w:r w:rsidRPr="00EF078D">
              <w:rPr>
                <w:sz w:val="20"/>
                <w:szCs w:val="20"/>
              </w:rPr>
              <w:t>Determine and analyze the relationship between two or more themes or central ideas of a text, including the development and interaction of the themes; provide an objective summary of the text.</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CC.1.3.11–12.B</w:t>
            </w:r>
          </w:p>
          <w:p w:rsidR="008B01D9" w:rsidRPr="00EF078D" w:rsidRDefault="008B01D9" w:rsidP="006D79CC">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CC.1.3.11–12.C</w:t>
            </w:r>
          </w:p>
          <w:p w:rsidR="008B01D9" w:rsidRPr="00EF078D" w:rsidRDefault="008B01D9" w:rsidP="006D79CC">
            <w:pPr>
              <w:rPr>
                <w:sz w:val="20"/>
                <w:szCs w:val="20"/>
              </w:rPr>
            </w:pPr>
            <w:r w:rsidRPr="00EF078D">
              <w:rPr>
                <w:sz w:val="20"/>
                <w:szCs w:val="20"/>
              </w:rPr>
              <w:t>Analyze the impact of the author’s choices regarding how to develop and relate elements of a story or drama.</w:t>
            </w:r>
          </w:p>
          <w:p w:rsidR="008B01D9" w:rsidRDefault="008B01D9" w:rsidP="006D79CC">
            <w:pPr>
              <w:rPr>
                <w:b/>
                <w:sz w:val="20"/>
                <w:szCs w:val="20"/>
              </w:rPr>
            </w:pPr>
          </w:p>
          <w:p w:rsidR="008B01D9" w:rsidRPr="00EF078D" w:rsidRDefault="008B01D9" w:rsidP="006D79CC">
            <w:pPr>
              <w:rPr>
                <w:b/>
                <w:sz w:val="20"/>
                <w:szCs w:val="20"/>
              </w:rPr>
            </w:pPr>
            <w:r w:rsidRPr="00EF078D">
              <w:rPr>
                <w:b/>
                <w:sz w:val="20"/>
                <w:szCs w:val="20"/>
              </w:rPr>
              <w:t>CC.1.3.11–12.D</w:t>
            </w:r>
          </w:p>
          <w:p w:rsidR="008B01D9" w:rsidRPr="00EF078D" w:rsidRDefault="008B01D9" w:rsidP="006D79CC">
            <w:pPr>
              <w:rPr>
                <w:sz w:val="20"/>
                <w:szCs w:val="20"/>
              </w:rPr>
            </w:pPr>
            <w:r w:rsidRPr="00EF078D">
              <w:rPr>
                <w:sz w:val="20"/>
                <w:szCs w:val="20"/>
              </w:rPr>
              <w:t>Evaluate how an author’s point of view or purpose shapes the content and style of a text</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lastRenderedPageBreak/>
              <w:t>CC.1.3.11–12.E</w:t>
            </w:r>
          </w:p>
          <w:p w:rsidR="008B01D9" w:rsidRPr="00EF078D" w:rsidRDefault="008B01D9" w:rsidP="006D79CC">
            <w:pPr>
              <w:rPr>
                <w:sz w:val="20"/>
                <w:szCs w:val="20"/>
              </w:rPr>
            </w:pPr>
            <w:r w:rsidRPr="00EF078D">
              <w:rPr>
                <w:sz w:val="20"/>
                <w:szCs w:val="20"/>
              </w:rPr>
              <w:t>Evaluate the structure of texts including how specific sentences, paragraphs, and larger portions of the texts relate to each other and the whole.</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CC.1.3.11–12.F</w:t>
            </w:r>
          </w:p>
          <w:p w:rsidR="008B01D9" w:rsidRPr="00EF078D" w:rsidRDefault="008B01D9" w:rsidP="006D79CC">
            <w:pPr>
              <w:rPr>
                <w:sz w:val="20"/>
                <w:szCs w:val="20"/>
              </w:rPr>
            </w:pPr>
            <w:r w:rsidRPr="00EF078D">
              <w:rPr>
                <w:sz w:val="20"/>
                <w:szCs w:val="20"/>
              </w:rPr>
              <w:t>Evaluate how words and phrases shape meaning and tone in texts</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CC.1.3.11–12.G</w:t>
            </w:r>
          </w:p>
          <w:p w:rsidR="008B01D9" w:rsidRDefault="008B01D9" w:rsidP="006D79CC">
            <w:pPr>
              <w:rPr>
                <w:sz w:val="20"/>
                <w:szCs w:val="20"/>
              </w:rPr>
            </w:pPr>
            <w:r w:rsidRPr="00EF078D">
              <w:rPr>
                <w:sz w:val="20"/>
                <w:szCs w:val="20"/>
              </w:rPr>
              <w:t xml:space="preserve">Analyze multiple interpretations of a story, drama, or </w:t>
            </w:r>
            <w:r w:rsidR="005A4C14">
              <w:rPr>
                <w:sz w:val="20"/>
                <w:szCs w:val="20"/>
              </w:rPr>
              <w:t xml:space="preserve"> </w:t>
            </w:r>
            <w:r w:rsidRPr="00EF078D">
              <w:rPr>
                <w:sz w:val="20"/>
                <w:szCs w:val="20"/>
              </w:rPr>
              <w:t xml:space="preserve">poem (e.g., recorded or live production of a play or recorded novel or poetry), evaluating how each version interprets the source text. </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CC.1.3.11–12.I</w:t>
            </w:r>
          </w:p>
          <w:p w:rsidR="008B01D9" w:rsidRPr="00EF078D" w:rsidRDefault="008B01D9" w:rsidP="006D79CC">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CC.1.3.11–12.J</w:t>
            </w:r>
          </w:p>
          <w:p w:rsidR="008B01D9" w:rsidRPr="00EF078D" w:rsidRDefault="008B01D9" w:rsidP="006D79CC">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CC.1.3.11–12.K</w:t>
            </w:r>
          </w:p>
          <w:p w:rsidR="008B01D9" w:rsidRPr="00EF078D" w:rsidRDefault="008B01D9" w:rsidP="006D79CC">
            <w:pPr>
              <w:rPr>
                <w:sz w:val="20"/>
                <w:szCs w:val="20"/>
              </w:rPr>
            </w:pPr>
            <w:r w:rsidRPr="00EF078D">
              <w:rPr>
                <w:sz w:val="20"/>
                <w:szCs w:val="20"/>
              </w:rPr>
              <w:t>Read and comprehend literary fiction on grade level, reading independently and proficiently.</w:t>
            </w:r>
          </w:p>
          <w:p w:rsidR="008B01D9" w:rsidRPr="00906451" w:rsidRDefault="008B01D9" w:rsidP="006D79CC">
            <w:pPr>
              <w:rPr>
                <w:rFonts w:eastAsiaTheme="minorHAnsi"/>
                <w:sz w:val="20"/>
                <w:szCs w:val="20"/>
              </w:rPr>
            </w:pPr>
          </w:p>
        </w:tc>
        <w:tc>
          <w:tcPr>
            <w:tcW w:w="7290" w:type="dxa"/>
            <w:gridSpan w:val="2"/>
          </w:tcPr>
          <w:p w:rsidR="008B01D9" w:rsidRDefault="008B01D9" w:rsidP="006D79CC">
            <w:pPr>
              <w:ind w:right="-2528"/>
              <w:rPr>
                <w:rFonts w:eastAsiaTheme="minorHAnsi"/>
                <w:b/>
                <w:sz w:val="20"/>
                <w:szCs w:val="20"/>
              </w:rPr>
            </w:pPr>
            <w:r>
              <w:rPr>
                <w:rFonts w:eastAsiaTheme="minorHAnsi"/>
                <w:b/>
                <w:sz w:val="20"/>
                <w:szCs w:val="20"/>
              </w:rPr>
              <w:lastRenderedPageBreak/>
              <w:t>Eligible Content:</w:t>
            </w:r>
          </w:p>
          <w:p w:rsidR="008B01D9" w:rsidRDefault="008B01D9" w:rsidP="006D79CC">
            <w:pPr>
              <w:ind w:right="-2528"/>
              <w:rPr>
                <w:rFonts w:eastAsiaTheme="minorHAnsi"/>
                <w:b/>
                <w:sz w:val="20"/>
                <w:szCs w:val="20"/>
              </w:rPr>
            </w:pPr>
          </w:p>
          <w:p w:rsidR="008B01D9" w:rsidRPr="00906451" w:rsidRDefault="008B01D9" w:rsidP="006D79CC">
            <w:pPr>
              <w:ind w:right="-2528"/>
              <w:rPr>
                <w:rFonts w:eastAsiaTheme="minorHAnsi"/>
                <w:sz w:val="20"/>
                <w:szCs w:val="20"/>
              </w:rPr>
            </w:pPr>
            <w:r>
              <w:rPr>
                <w:rFonts w:eastAsiaTheme="minorHAnsi"/>
                <w:sz w:val="20"/>
                <w:szCs w:val="20"/>
              </w:rPr>
              <w:t xml:space="preserve">Not state assessed.  </w:t>
            </w:r>
          </w:p>
        </w:tc>
      </w:tr>
      <w:tr w:rsidR="008B01D9" w:rsidRPr="00EF078D" w:rsidTr="006D79CC">
        <w:trPr>
          <w:trHeight w:val="266"/>
        </w:trPr>
        <w:tc>
          <w:tcPr>
            <w:tcW w:w="13878" w:type="dxa"/>
            <w:gridSpan w:val="3"/>
          </w:tcPr>
          <w:p w:rsidR="008B01D9" w:rsidRPr="00EF078D" w:rsidRDefault="008B01D9" w:rsidP="006D79CC">
            <w:pPr>
              <w:rPr>
                <w:b/>
                <w:sz w:val="20"/>
                <w:szCs w:val="20"/>
              </w:rPr>
            </w:pPr>
            <w:r>
              <w:rPr>
                <w:b/>
                <w:sz w:val="20"/>
                <w:szCs w:val="20"/>
              </w:rPr>
              <w:lastRenderedPageBreak/>
              <w:t xml:space="preserve">Assessment Anchor and Anchor Descriptor: </w:t>
            </w:r>
            <w:r w:rsidRPr="00EF078D">
              <w:rPr>
                <w:b/>
                <w:sz w:val="20"/>
                <w:szCs w:val="20"/>
              </w:rPr>
              <w:t>1.4 Writing</w:t>
            </w:r>
          </w:p>
          <w:p w:rsidR="008B01D9" w:rsidRDefault="008B01D9" w:rsidP="006D79CC">
            <w:pPr>
              <w:rPr>
                <w:b/>
                <w:sz w:val="20"/>
                <w:szCs w:val="20"/>
              </w:rPr>
            </w:pPr>
            <w:r w:rsidRPr="00EF078D">
              <w:rPr>
                <w:b/>
                <w:sz w:val="20"/>
                <w:szCs w:val="20"/>
              </w:rPr>
              <w:t>Students write for different purposes and audiences. Students write clear and focused text to convey a well-defined perspective and appropriate content.</w:t>
            </w:r>
          </w:p>
          <w:p w:rsidR="008B01D9" w:rsidRPr="00EF078D" w:rsidRDefault="008B01D9" w:rsidP="006D79CC">
            <w:pPr>
              <w:rPr>
                <w:b/>
                <w:sz w:val="20"/>
                <w:szCs w:val="20"/>
              </w:rPr>
            </w:pPr>
          </w:p>
        </w:tc>
      </w:tr>
      <w:tr w:rsidR="008B01D9" w:rsidRPr="00906451" w:rsidTr="006D79CC">
        <w:trPr>
          <w:trHeight w:val="266"/>
        </w:trPr>
        <w:tc>
          <w:tcPr>
            <w:tcW w:w="6588" w:type="dxa"/>
          </w:tcPr>
          <w:p w:rsidR="008B01D9" w:rsidRDefault="008B01D9" w:rsidP="006D79CC">
            <w:pPr>
              <w:rPr>
                <w:rFonts w:eastAsiaTheme="minorHAnsi"/>
                <w:b/>
                <w:sz w:val="20"/>
                <w:szCs w:val="20"/>
              </w:rPr>
            </w:pPr>
            <w:r w:rsidRPr="00EF078D">
              <w:rPr>
                <w:rFonts w:eastAsiaTheme="minorHAnsi"/>
                <w:b/>
                <w:sz w:val="20"/>
                <w:szCs w:val="20"/>
              </w:rPr>
              <w:t>PA Core Standard</w:t>
            </w:r>
            <w:r>
              <w:rPr>
                <w:rFonts w:eastAsiaTheme="minorHAnsi"/>
                <w:b/>
                <w:sz w:val="20"/>
                <w:szCs w:val="20"/>
              </w:rPr>
              <w:t xml:space="preserve">: </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CC.1.4.11–12.K</w:t>
            </w:r>
          </w:p>
          <w:p w:rsidR="008B01D9" w:rsidRPr="00EF078D" w:rsidRDefault="008B01D9" w:rsidP="006D79CC">
            <w:pPr>
              <w:rPr>
                <w:sz w:val="20"/>
                <w:szCs w:val="20"/>
              </w:rPr>
            </w:pPr>
            <w:r w:rsidRPr="00EF078D">
              <w:rPr>
                <w:sz w:val="20"/>
                <w:szCs w:val="20"/>
              </w:rPr>
              <w:t>Write with an awareness of the stylistic aspects of composition.</w:t>
            </w:r>
          </w:p>
          <w:p w:rsidR="008B01D9" w:rsidRPr="00EF078D" w:rsidRDefault="008B01D9" w:rsidP="006D79CC">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8B01D9" w:rsidRPr="00EF078D" w:rsidRDefault="008B01D9" w:rsidP="006D79CC">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8B01D9" w:rsidRDefault="008B01D9" w:rsidP="006D79CC">
            <w:pPr>
              <w:rPr>
                <w:sz w:val="20"/>
                <w:szCs w:val="20"/>
              </w:rPr>
            </w:pPr>
          </w:p>
          <w:p w:rsidR="008B01D9" w:rsidRPr="00EF078D" w:rsidRDefault="008B01D9" w:rsidP="006D79CC">
            <w:pPr>
              <w:rPr>
                <w:b/>
                <w:sz w:val="20"/>
                <w:szCs w:val="20"/>
              </w:rPr>
            </w:pPr>
            <w:r w:rsidRPr="00EF078D">
              <w:rPr>
                <w:b/>
                <w:sz w:val="20"/>
                <w:szCs w:val="20"/>
              </w:rPr>
              <w:t>CC.1.4.11–12.Q</w:t>
            </w:r>
          </w:p>
          <w:p w:rsidR="008B01D9" w:rsidRPr="00EF078D" w:rsidRDefault="008B01D9" w:rsidP="006D79CC">
            <w:pPr>
              <w:rPr>
                <w:sz w:val="20"/>
                <w:szCs w:val="20"/>
              </w:rPr>
            </w:pPr>
            <w:r w:rsidRPr="00EF078D">
              <w:rPr>
                <w:sz w:val="20"/>
                <w:szCs w:val="20"/>
              </w:rPr>
              <w:t>Write with an awareness of the stylistic aspects of writing.</w:t>
            </w:r>
          </w:p>
          <w:p w:rsidR="008B01D9" w:rsidRPr="00EF078D" w:rsidRDefault="008B01D9" w:rsidP="006D79CC">
            <w:pPr>
              <w:rPr>
                <w:sz w:val="20"/>
                <w:szCs w:val="20"/>
              </w:rPr>
            </w:pPr>
            <w:r w:rsidRPr="00EF078D">
              <w:rPr>
                <w:sz w:val="20"/>
                <w:szCs w:val="20"/>
              </w:rPr>
              <w:sym w:font="Symbol" w:char="F0B7"/>
            </w:r>
            <w:r w:rsidRPr="00EF078D">
              <w:rPr>
                <w:sz w:val="20"/>
                <w:szCs w:val="20"/>
              </w:rPr>
              <w:t>Use parallel structure.</w:t>
            </w:r>
          </w:p>
          <w:p w:rsidR="008B01D9" w:rsidRPr="00EF078D" w:rsidRDefault="008B01D9" w:rsidP="006D79CC">
            <w:pPr>
              <w:rPr>
                <w:sz w:val="20"/>
                <w:szCs w:val="20"/>
              </w:rPr>
            </w:pPr>
            <w:r w:rsidRPr="00EF078D">
              <w:rPr>
                <w:sz w:val="20"/>
                <w:szCs w:val="20"/>
              </w:rPr>
              <w:sym w:font="Symbol" w:char="F0B7"/>
            </w:r>
            <w:r w:rsidRPr="00EF078D">
              <w:rPr>
                <w:sz w:val="20"/>
                <w:szCs w:val="20"/>
              </w:rPr>
              <w:t>Use various types of phrases and clauses to convey specific meanings and add variety and interest.</w:t>
            </w:r>
          </w:p>
          <w:p w:rsidR="008B01D9" w:rsidRPr="00EF078D" w:rsidRDefault="008B01D9" w:rsidP="006D79CC">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CC.1.4.11–12.R</w:t>
            </w:r>
          </w:p>
          <w:p w:rsidR="008B01D9" w:rsidRPr="00EF078D" w:rsidRDefault="008B01D9" w:rsidP="006D79CC">
            <w:pPr>
              <w:rPr>
                <w:sz w:val="20"/>
                <w:szCs w:val="20"/>
              </w:rPr>
            </w:pPr>
            <w:r w:rsidRPr="00EF078D">
              <w:rPr>
                <w:sz w:val="20"/>
                <w:szCs w:val="20"/>
              </w:rPr>
              <w:t>Demonstrate a grade-appropriate command of the conventions of standard English grammar, usage, capitalization, punctuation, and spelling.</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CC.1.4.11–12.S</w:t>
            </w:r>
          </w:p>
          <w:p w:rsidR="008B01D9" w:rsidRPr="00EF078D" w:rsidRDefault="008B01D9" w:rsidP="006D79CC">
            <w:pPr>
              <w:rPr>
                <w:sz w:val="20"/>
                <w:szCs w:val="20"/>
              </w:rPr>
            </w:pPr>
            <w:r w:rsidRPr="00EF078D">
              <w:rPr>
                <w:sz w:val="20"/>
                <w:szCs w:val="20"/>
              </w:rPr>
              <w:t>Draw evidence from literary or informational texts to support analysis, reflection, and research, applying grade-level reading standards for literature and literary nonfiction.</w:t>
            </w:r>
          </w:p>
          <w:p w:rsidR="008B01D9" w:rsidRPr="00906451" w:rsidRDefault="008B01D9" w:rsidP="006D79CC">
            <w:pPr>
              <w:rPr>
                <w:rFonts w:eastAsiaTheme="minorHAnsi"/>
                <w:sz w:val="20"/>
                <w:szCs w:val="20"/>
              </w:rPr>
            </w:pPr>
          </w:p>
        </w:tc>
        <w:tc>
          <w:tcPr>
            <w:tcW w:w="7290" w:type="dxa"/>
            <w:gridSpan w:val="2"/>
          </w:tcPr>
          <w:p w:rsidR="008B01D9" w:rsidRDefault="008B01D9" w:rsidP="006D79CC">
            <w:pPr>
              <w:ind w:right="-2528"/>
              <w:rPr>
                <w:rFonts w:eastAsiaTheme="minorHAnsi"/>
                <w:b/>
                <w:sz w:val="20"/>
                <w:szCs w:val="20"/>
              </w:rPr>
            </w:pPr>
            <w:r>
              <w:rPr>
                <w:rFonts w:eastAsiaTheme="minorHAnsi"/>
                <w:b/>
                <w:sz w:val="20"/>
                <w:szCs w:val="20"/>
              </w:rPr>
              <w:t xml:space="preserve">Eligible Content: </w:t>
            </w:r>
          </w:p>
          <w:p w:rsidR="008B01D9" w:rsidRDefault="008B01D9" w:rsidP="006D79CC">
            <w:pPr>
              <w:ind w:right="-2528"/>
              <w:rPr>
                <w:rFonts w:eastAsiaTheme="minorHAnsi"/>
                <w:b/>
                <w:sz w:val="20"/>
                <w:szCs w:val="20"/>
              </w:rPr>
            </w:pPr>
          </w:p>
          <w:p w:rsidR="008B01D9" w:rsidRPr="00906451" w:rsidRDefault="008B01D9" w:rsidP="008B01D9">
            <w:pPr>
              <w:ind w:right="-2528"/>
              <w:rPr>
                <w:rFonts w:eastAsiaTheme="minorHAnsi"/>
                <w:sz w:val="20"/>
                <w:szCs w:val="20"/>
              </w:rPr>
            </w:pPr>
            <w:r>
              <w:rPr>
                <w:rFonts w:eastAsiaTheme="minorHAnsi"/>
                <w:sz w:val="20"/>
                <w:szCs w:val="20"/>
              </w:rPr>
              <w:t xml:space="preserve">Not state assessed.  </w:t>
            </w:r>
          </w:p>
        </w:tc>
      </w:tr>
      <w:tr w:rsidR="008B01D9" w:rsidRPr="00290C6A" w:rsidTr="006D79CC">
        <w:trPr>
          <w:trHeight w:val="281"/>
        </w:trPr>
        <w:tc>
          <w:tcPr>
            <w:tcW w:w="13878" w:type="dxa"/>
            <w:gridSpan w:val="3"/>
          </w:tcPr>
          <w:p w:rsidR="008B01D9" w:rsidRPr="00EF078D" w:rsidRDefault="008B01D9" w:rsidP="006D79CC">
            <w:pPr>
              <w:rPr>
                <w:b/>
                <w:sz w:val="20"/>
                <w:szCs w:val="20"/>
              </w:rPr>
            </w:pPr>
            <w:r w:rsidRPr="00290C6A">
              <w:rPr>
                <w:b/>
                <w:sz w:val="20"/>
                <w:szCs w:val="20"/>
              </w:rPr>
              <w:t xml:space="preserve">Assessment Anchor and Anchor Descriptor: </w:t>
            </w:r>
            <w:r w:rsidRPr="00EF078D">
              <w:rPr>
                <w:sz w:val="20"/>
                <w:szCs w:val="20"/>
              </w:rPr>
              <w:t>1</w:t>
            </w:r>
            <w:r w:rsidRPr="00EF078D">
              <w:rPr>
                <w:b/>
                <w:sz w:val="20"/>
                <w:szCs w:val="20"/>
              </w:rPr>
              <w:t>.5 Speaking and Listening</w:t>
            </w:r>
          </w:p>
          <w:p w:rsidR="008B01D9" w:rsidRDefault="008B01D9" w:rsidP="006D79CC">
            <w:pPr>
              <w:rPr>
                <w:b/>
                <w:sz w:val="20"/>
                <w:szCs w:val="20"/>
              </w:rPr>
            </w:pPr>
            <w:r w:rsidRPr="00EF078D">
              <w:rPr>
                <w:b/>
                <w:sz w:val="20"/>
                <w:szCs w:val="20"/>
              </w:rPr>
              <w:t>Students present appropriately in formal speaking situations, listen critically, and respond intelligently as individuals or in group discussions.</w:t>
            </w:r>
          </w:p>
          <w:p w:rsidR="008B01D9" w:rsidRPr="00290C6A" w:rsidRDefault="008B01D9" w:rsidP="006D79CC">
            <w:pPr>
              <w:rPr>
                <w:b/>
                <w:sz w:val="20"/>
                <w:szCs w:val="20"/>
              </w:rPr>
            </w:pPr>
          </w:p>
        </w:tc>
      </w:tr>
      <w:tr w:rsidR="008B01D9" w:rsidRPr="00906451" w:rsidTr="006D79CC">
        <w:trPr>
          <w:trHeight w:val="281"/>
        </w:trPr>
        <w:tc>
          <w:tcPr>
            <w:tcW w:w="8298" w:type="dxa"/>
            <w:gridSpan w:val="2"/>
          </w:tcPr>
          <w:p w:rsidR="008B01D9" w:rsidRDefault="008B01D9" w:rsidP="006D79CC">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B01D9" w:rsidRDefault="008B01D9" w:rsidP="006D79CC">
            <w:pPr>
              <w:rPr>
                <w:rFonts w:eastAsiaTheme="minorHAnsi"/>
                <w:b/>
                <w:sz w:val="20"/>
                <w:szCs w:val="20"/>
              </w:rPr>
            </w:pPr>
          </w:p>
          <w:p w:rsidR="008B01D9" w:rsidRPr="00EF078D" w:rsidRDefault="008B01D9" w:rsidP="006D79CC">
            <w:pPr>
              <w:rPr>
                <w:b/>
                <w:sz w:val="20"/>
                <w:szCs w:val="20"/>
              </w:rPr>
            </w:pPr>
            <w:r w:rsidRPr="00EF078D">
              <w:rPr>
                <w:b/>
                <w:sz w:val="20"/>
                <w:szCs w:val="20"/>
              </w:rPr>
              <w:t>CC.1.5.11–12.A</w:t>
            </w:r>
          </w:p>
          <w:p w:rsidR="008B01D9" w:rsidRPr="00EF078D" w:rsidRDefault="008B01D9" w:rsidP="006D79CC">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CC.1.5.11–12.B</w:t>
            </w:r>
          </w:p>
          <w:p w:rsidR="008B01D9" w:rsidRPr="00EF078D" w:rsidRDefault="008B01D9" w:rsidP="006D79CC">
            <w:pPr>
              <w:rPr>
                <w:sz w:val="20"/>
                <w:szCs w:val="20"/>
              </w:rPr>
            </w:pPr>
            <w:r w:rsidRPr="00EF078D">
              <w:rPr>
                <w:sz w:val="20"/>
                <w:szCs w:val="20"/>
              </w:rPr>
              <w:t xml:space="preserve">Evaluate how the speaker’s perspective, reasoning, and use of evidence and rhetoric affect the credibility of an argument through the author’s stance, premises, links among </w:t>
            </w:r>
            <w:r w:rsidR="005A4C14">
              <w:rPr>
                <w:sz w:val="20"/>
                <w:szCs w:val="20"/>
              </w:rPr>
              <w:t xml:space="preserve"> </w:t>
            </w:r>
            <w:r w:rsidRPr="00EF078D">
              <w:rPr>
                <w:sz w:val="20"/>
                <w:szCs w:val="20"/>
              </w:rPr>
              <w:t>ideas, word choice, points of emphasis, and tone.</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CC.1.5.11–12.C</w:t>
            </w:r>
          </w:p>
          <w:p w:rsidR="008B01D9" w:rsidRPr="00EF078D" w:rsidRDefault="008B01D9" w:rsidP="006D79CC">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lastRenderedPageBreak/>
              <w:t>CC.1.5.11–12.D</w:t>
            </w:r>
          </w:p>
          <w:p w:rsidR="008B01D9" w:rsidRPr="00EF078D" w:rsidRDefault="008B01D9" w:rsidP="006D79CC">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CC.1.5.11–12.F</w:t>
            </w:r>
          </w:p>
          <w:p w:rsidR="008B01D9" w:rsidRPr="00EF078D" w:rsidRDefault="008B01D9" w:rsidP="006D79CC">
            <w:pPr>
              <w:rPr>
                <w:sz w:val="20"/>
                <w:szCs w:val="20"/>
              </w:rPr>
            </w:pPr>
            <w:r w:rsidRPr="00EF078D">
              <w:rPr>
                <w:sz w:val="20"/>
                <w:szCs w:val="20"/>
              </w:rPr>
              <w:t>Make strategic use of digital media in presentations to add interest and enhance understanding of findings, reasoning, and evidence.</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CC.1.5.11–12.G</w:t>
            </w:r>
          </w:p>
          <w:p w:rsidR="008B01D9" w:rsidRPr="00EF078D" w:rsidRDefault="008B01D9" w:rsidP="006D79CC">
            <w:pPr>
              <w:rPr>
                <w:sz w:val="20"/>
                <w:szCs w:val="20"/>
              </w:rPr>
            </w:pPr>
            <w:r w:rsidRPr="00EF078D">
              <w:rPr>
                <w:sz w:val="20"/>
                <w:szCs w:val="20"/>
              </w:rPr>
              <w:t>Demonstrate command of the conventions of standard English when speaking based on Grades 11–12 level and content</w:t>
            </w:r>
            <w:r w:rsidR="005A4C14">
              <w:rPr>
                <w:sz w:val="20"/>
                <w:szCs w:val="20"/>
              </w:rPr>
              <w:t>.</w:t>
            </w:r>
          </w:p>
          <w:p w:rsidR="008B01D9" w:rsidRPr="00EF078D" w:rsidRDefault="008B01D9" w:rsidP="006D79CC">
            <w:pPr>
              <w:rPr>
                <w:rFonts w:eastAsiaTheme="minorHAnsi"/>
                <w:b/>
                <w:sz w:val="20"/>
                <w:szCs w:val="20"/>
              </w:rPr>
            </w:pPr>
          </w:p>
        </w:tc>
        <w:tc>
          <w:tcPr>
            <w:tcW w:w="5580" w:type="dxa"/>
          </w:tcPr>
          <w:p w:rsidR="008B01D9" w:rsidRDefault="008B01D9" w:rsidP="006D79CC">
            <w:pPr>
              <w:ind w:right="-2528"/>
              <w:rPr>
                <w:rFonts w:eastAsiaTheme="minorHAnsi"/>
                <w:b/>
                <w:sz w:val="20"/>
                <w:szCs w:val="20"/>
              </w:rPr>
            </w:pPr>
            <w:r>
              <w:rPr>
                <w:rFonts w:eastAsiaTheme="minorHAnsi"/>
                <w:b/>
                <w:sz w:val="20"/>
                <w:szCs w:val="20"/>
              </w:rPr>
              <w:lastRenderedPageBreak/>
              <w:t xml:space="preserve">Eligible Content: </w:t>
            </w:r>
          </w:p>
          <w:p w:rsidR="008B01D9" w:rsidRDefault="008B01D9" w:rsidP="006D79CC">
            <w:pPr>
              <w:ind w:right="-2528"/>
              <w:rPr>
                <w:rFonts w:eastAsiaTheme="minorHAnsi"/>
                <w:b/>
                <w:sz w:val="20"/>
                <w:szCs w:val="20"/>
              </w:rPr>
            </w:pPr>
          </w:p>
          <w:p w:rsidR="008B01D9" w:rsidRPr="00906451" w:rsidRDefault="008B01D9" w:rsidP="008B01D9">
            <w:pPr>
              <w:ind w:right="-2528"/>
              <w:rPr>
                <w:rFonts w:eastAsiaTheme="minorHAnsi"/>
                <w:sz w:val="20"/>
                <w:szCs w:val="20"/>
              </w:rPr>
            </w:pPr>
            <w:r>
              <w:rPr>
                <w:rFonts w:eastAsiaTheme="minorHAnsi"/>
                <w:sz w:val="20"/>
                <w:szCs w:val="20"/>
              </w:rPr>
              <w:t xml:space="preserve">Not state assessed.  </w:t>
            </w:r>
          </w:p>
        </w:tc>
      </w:tr>
    </w:tbl>
    <w:p w:rsidR="001F6476" w:rsidRDefault="001F6476" w:rsidP="001F6476">
      <w:pPr>
        <w:pStyle w:val="BodyText"/>
        <w:spacing w:line="240" w:lineRule="auto"/>
        <w:jc w:val="center"/>
      </w:pPr>
    </w:p>
    <w:p w:rsidR="001F6476" w:rsidRPr="008B01D9" w:rsidRDefault="001F6476" w:rsidP="001F6476">
      <w:pPr>
        <w:pStyle w:val="BodyText"/>
        <w:spacing w:line="240" w:lineRule="auto"/>
      </w:pPr>
      <w:r w:rsidRPr="008B01D9">
        <w:t>See Curriculum Map - &lt;</w:t>
      </w:r>
      <w:r w:rsidR="001C6270">
        <w:t>Science Fiction/ Fantasy</w:t>
      </w:r>
      <w:r w:rsidRPr="008B01D9">
        <w:t>&gt;</w:t>
      </w:r>
    </w:p>
    <w:p w:rsidR="005A4C14" w:rsidRDefault="005A4C14" w:rsidP="001F6476">
      <w:pPr>
        <w:pStyle w:val="BodyText"/>
        <w:spacing w:line="240" w:lineRule="auto"/>
        <w:jc w:val="cente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F6476" w:rsidP="001F6476">
      <w:pPr>
        <w:numPr>
          <w:ilvl w:val="0"/>
          <w:numId w:val="3"/>
        </w:numPr>
      </w:pPr>
      <w:r>
        <w:t>Bell ringers/Problems of the Day(PODs)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Default="001F6476" w:rsidP="001F6476">
      <w:pPr>
        <w:numPr>
          <w:ilvl w:val="0"/>
          <w:numId w:val="3"/>
        </w:numPr>
      </w:pPr>
      <w:r w:rsidRPr="00582D46">
        <w:t>Authentic assessment</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1F6476" w:rsidRPr="00264908" w:rsidRDefault="001F6476" w:rsidP="001F6476">
      <w:pPr>
        <w:ind w:left="720"/>
      </w:pPr>
    </w:p>
    <w:p w:rsidR="001F6476" w:rsidRDefault="001F6476" w:rsidP="001F6476">
      <w:r w:rsidRPr="000D04CF">
        <w:rPr>
          <w:b/>
          <w:bCs/>
        </w:rPr>
        <w:t>Suggested Summative Assessments:</w:t>
      </w:r>
      <w:r w:rsidRPr="000D04CF">
        <w:t xml:space="preserve"> </w:t>
      </w:r>
    </w:p>
    <w:p w:rsidR="001C6270" w:rsidRPr="000D04CF" w:rsidRDefault="001C6270" w:rsidP="001C6270">
      <w:pPr>
        <w:pStyle w:val="ListParagraph"/>
        <w:numPr>
          <w:ilvl w:val="0"/>
          <w:numId w:val="8"/>
        </w:numPr>
      </w:pPr>
      <w:r>
        <w:t>Per teacher recommendation, students will complete a summative assessment relating to an original science fiction or fantasy that may include the following:</w:t>
      </w:r>
    </w:p>
    <w:p w:rsidR="001F6476" w:rsidRDefault="001F6476" w:rsidP="001F6476">
      <w:pPr>
        <w:numPr>
          <w:ilvl w:val="0"/>
          <w:numId w:val="4"/>
        </w:numPr>
      </w:pPr>
      <w:r w:rsidRPr="00582D46">
        <w:t xml:space="preserve">Essays </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lastRenderedPageBreak/>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856608">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856608">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Default="001F6476" w:rsidP="001F6476">
      <w:pPr>
        <w:pStyle w:val="BodyText"/>
        <w:tabs>
          <w:tab w:val="left" w:pos="2640"/>
        </w:tabs>
        <w:spacing w:line="240" w:lineRule="auto"/>
        <w:rPr>
          <w:b w:val="0"/>
          <w:bCs w:val="0"/>
        </w:rPr>
      </w:pPr>
      <w:r w:rsidRPr="003A6664">
        <w:t xml:space="preserve">Course Challenge Assessment </w:t>
      </w:r>
      <w:r w:rsidRPr="003A6664">
        <w:rPr>
          <w:b w:val="0"/>
          <w:bCs w:val="0"/>
        </w:rPr>
        <w:t>(Describe):</w:t>
      </w:r>
      <w:r w:rsidR="00856608">
        <w:rPr>
          <w:b w:val="0"/>
          <w:bCs w:val="0"/>
        </w:rPr>
        <w:t xml:space="preserve"> None</w:t>
      </w:r>
    </w:p>
    <w:p w:rsidR="001F6476" w:rsidRPr="00264908" w:rsidRDefault="001F6476" w:rsidP="001F6476">
      <w:pPr>
        <w:pStyle w:val="BodyText"/>
        <w:tabs>
          <w:tab w:val="left" w:pos="2640"/>
        </w:tabs>
        <w:spacing w:line="240" w:lineRule="auto"/>
        <w:rPr>
          <w:b w:val="0"/>
          <w:bCs w:val="0"/>
          <w:sz w:val="16"/>
          <w:szCs w:val="16"/>
        </w:rPr>
      </w:pPr>
    </w:p>
    <w:p w:rsidR="001F6476" w:rsidRDefault="001F6476" w:rsidP="001F6476">
      <w:pPr>
        <w:spacing w:line="360" w:lineRule="auto"/>
        <w:rPr>
          <w:bCs/>
        </w:rPr>
      </w:pPr>
      <w:r w:rsidRPr="003A6664">
        <w:rPr>
          <w:b/>
          <w:bCs/>
        </w:rPr>
        <w:t xml:space="preserve">WRITING TEAM:  </w:t>
      </w:r>
      <w:r w:rsidR="008B01D9">
        <w:rPr>
          <w:b/>
          <w:bCs/>
        </w:rPr>
        <w:t>Jennifer Franklin with input from teachers across the district</w:t>
      </w: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856608">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856608">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sidR="00856608">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856608">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13"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856608">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5"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 weight/Non credit</w:t>
      </w:r>
      <w:r w:rsidRPr="00264908">
        <w:tab/>
      </w:r>
      <w:r w:rsidRPr="00264908">
        <w:rPr>
          <w:u w:val="single"/>
        </w:rPr>
        <w:tab/>
      </w:r>
      <w:r w:rsidR="00856608">
        <w:rPr>
          <w:u w:val="single"/>
        </w:rPr>
        <w:t>X</w:t>
      </w:r>
      <w:r w:rsidRPr="00264908">
        <w:rPr>
          <w:u w:val="single"/>
        </w:rPr>
        <w:tab/>
      </w:r>
      <w:r w:rsidRPr="00264908">
        <w:t xml:space="preserve"> Standard weight</w:t>
      </w:r>
    </w:p>
    <w:p w:rsidR="001F6476" w:rsidRPr="00264908"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1F6476" w:rsidRDefault="001F6476" w:rsidP="001F6476"/>
    <w:p w:rsidR="001F6476" w:rsidRDefault="001F6476" w:rsidP="001F6476"/>
    <w:p w:rsidR="001F6476" w:rsidRDefault="001F6476" w:rsidP="001F6476"/>
    <w:p w:rsidR="000006E0" w:rsidRDefault="000006E0"/>
    <w:sectPr w:rsidR="000006E0" w:rsidSect="000006E0">
      <w:footerReference w:type="default" r:id="rId7"/>
      <w:headerReference w:type="first" r:id="rId8"/>
      <w:footerReference w:type="first" r:id="rId9"/>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20" w:rsidRDefault="00626820">
      <w:r>
        <w:separator/>
      </w:r>
    </w:p>
  </w:endnote>
  <w:endnote w:type="continuationSeparator" w:id="0">
    <w:p w:rsidR="00626820" w:rsidRDefault="0062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lec – 10/12</w:t>
    </w:r>
    <w:r>
      <w:rPr>
        <w:sz w:val="16"/>
      </w:rPr>
      <w:tab/>
    </w:r>
    <w:r>
      <w:rPr>
        <w:rStyle w:val="PageNumber"/>
      </w:rPr>
      <w:fldChar w:fldCharType="begin"/>
    </w:r>
    <w:r>
      <w:rPr>
        <w:rStyle w:val="PageNumber"/>
      </w:rPr>
      <w:instrText xml:space="preserve"> PAGE </w:instrText>
    </w:r>
    <w:r>
      <w:rPr>
        <w:rStyle w:val="PageNumber"/>
      </w:rPr>
      <w:fldChar w:fldCharType="separate"/>
    </w:r>
    <w:r w:rsidR="00920E50">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920E5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20" w:rsidRDefault="00626820">
      <w:r>
        <w:separator/>
      </w:r>
    </w:p>
  </w:footnote>
  <w:footnote w:type="continuationSeparator" w:id="0">
    <w:p w:rsidR="00626820" w:rsidRDefault="00626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B4A3914"/>
    <w:multiLevelType w:val="hybridMultilevel"/>
    <w:tmpl w:val="344EF4A6"/>
    <w:lvl w:ilvl="0" w:tplc="6EC03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F2676"/>
    <w:multiLevelType w:val="hybridMultilevel"/>
    <w:tmpl w:val="9168D418"/>
    <w:lvl w:ilvl="0" w:tplc="80BE8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07114"/>
    <w:rsid w:val="00081D2D"/>
    <w:rsid w:val="000B50B5"/>
    <w:rsid w:val="001720B7"/>
    <w:rsid w:val="001C6270"/>
    <w:rsid w:val="001F6476"/>
    <w:rsid w:val="00290C6A"/>
    <w:rsid w:val="00297414"/>
    <w:rsid w:val="003A28DA"/>
    <w:rsid w:val="00477B54"/>
    <w:rsid w:val="00483460"/>
    <w:rsid w:val="005556FE"/>
    <w:rsid w:val="005A4C14"/>
    <w:rsid w:val="00603097"/>
    <w:rsid w:val="00626820"/>
    <w:rsid w:val="007B1900"/>
    <w:rsid w:val="008024B3"/>
    <w:rsid w:val="00822F24"/>
    <w:rsid w:val="00856608"/>
    <w:rsid w:val="00860E43"/>
    <w:rsid w:val="00891476"/>
    <w:rsid w:val="008B01D9"/>
    <w:rsid w:val="00920E50"/>
    <w:rsid w:val="00954555"/>
    <w:rsid w:val="0096224D"/>
    <w:rsid w:val="009D6E84"/>
    <w:rsid w:val="009F116D"/>
    <w:rsid w:val="00A55340"/>
    <w:rsid w:val="00B406F3"/>
    <w:rsid w:val="00B715CD"/>
    <w:rsid w:val="00B96066"/>
    <w:rsid w:val="00BB5DF1"/>
    <w:rsid w:val="00C65386"/>
    <w:rsid w:val="00CD460F"/>
    <w:rsid w:val="00CE5C4E"/>
    <w:rsid w:val="00E917BB"/>
    <w:rsid w:val="00EF078D"/>
    <w:rsid w:val="00F27B27"/>
    <w:rsid w:val="00F80293"/>
    <w:rsid w:val="00F8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5EED2B"/>
  <w15:docId w15:val="{59160BE6-5145-4947-812E-52522554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01D9"/>
    <w:rPr>
      <w:color w:val="0000FF"/>
      <w:u w:val="single"/>
    </w:rPr>
  </w:style>
  <w:style w:type="paragraph" w:styleId="ListParagraph">
    <w:name w:val="List Paragraph"/>
    <w:basedOn w:val="Normal"/>
    <w:uiPriority w:val="34"/>
    <w:qFormat/>
    <w:rsid w:val="001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7417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2</cp:revision>
  <dcterms:created xsi:type="dcterms:W3CDTF">2017-08-30T20:59:00Z</dcterms:created>
  <dcterms:modified xsi:type="dcterms:W3CDTF">2017-08-30T20:59:00Z</dcterms:modified>
</cp:coreProperties>
</file>