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D43732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51CF2">
            <w:rPr>
              <w:rFonts w:cstheme="minorHAnsi"/>
            </w:rPr>
            <w:t>High School Adapted Physical Education</w:t>
          </w:r>
        </w:sdtContent>
      </w:sdt>
    </w:p>
    <w:p w14:paraId="7DBD16A4" w14:textId="72A205C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7B3263">
            <w:rPr>
              <w:rFonts w:cstheme="minorHAnsi"/>
            </w:rPr>
            <w:t>00623</w:t>
          </w:r>
        </w:sdtContent>
      </w:sdt>
    </w:p>
    <w:p w14:paraId="5A1A935A" w14:textId="1F63C9D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21099F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50482C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106F57">
            <w:t xml:space="preserve">High School Adapted Physical Education provides students of any skill level with an opportunity to incorporate physical activity and lifelong leisure experiences into their lifestyle. Activities will include walking, </w:t>
          </w:r>
          <w:r w:rsidR="00106F57">
            <w:t>weightlifting</w:t>
          </w:r>
          <w:r w:rsidR="00106F57">
            <w:t xml:space="preserve">, and non-competitive </w:t>
          </w:r>
          <w:r w:rsidR="00A35A0B">
            <w:t>team,</w:t>
          </w:r>
          <w:r w:rsidR="00106F57">
            <w:t xml:space="preserve"> and recreational games. Skills and common concepts of each lifelong activity will be presented and developed through practice and participation.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567440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106F57">
            <w:rPr>
              <w:rFonts w:cstheme="minorHAnsi"/>
            </w:rPr>
            <w:t>Grades 9-12</w:t>
          </w:r>
        </w:sdtContent>
      </w:sdt>
    </w:p>
    <w:p w14:paraId="19574833" w14:textId="2FA693A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106F57">
            <w:rPr>
              <w:rFonts w:cstheme="minorHAnsi"/>
            </w:rPr>
            <w:t>One Semester</w:t>
          </w:r>
        </w:sdtContent>
      </w:sdt>
    </w:p>
    <w:p w14:paraId="44798805" w14:textId="1F5DA08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06F57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53ECF17E" w:rsidR="00233FF6" w:rsidRPr="002872D0" w:rsidRDefault="00106F5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86FBD19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ED6670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F5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4DF5B9F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04E2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25647CA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4E2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4E2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451A34FF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4E2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E449E8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4E2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4E2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A65B12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04E29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635D61C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C04E29">
            <w:t>NA</w:t>
          </w:r>
        </w:sdtContent>
      </w:sdt>
    </w:p>
    <w:p w14:paraId="3BDFCBA3" w14:textId="1F778C53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C04E29">
            <w:t>NA</w:t>
          </w:r>
        </w:sdtContent>
      </w:sdt>
    </w:p>
    <w:p w14:paraId="13940A2E" w14:textId="0B5E538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C04E29">
            <w:t>NA</w:t>
          </w:r>
        </w:sdtContent>
      </w:sdt>
    </w:p>
    <w:p w14:paraId="315731A5" w14:textId="19094F6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C04E29">
            <w:t>NA</w:t>
          </w:r>
        </w:sdtContent>
      </w:sdt>
    </w:p>
    <w:p w14:paraId="791863D9" w14:textId="35D56F8C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C04E29">
                <w:t>NA</w:t>
              </w:r>
            </w:sdtContent>
          </w:sdt>
        </w:sdtContent>
      </w:sdt>
    </w:p>
    <w:p w14:paraId="37BB8507" w14:textId="64928AD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04E29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1DC8616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1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4E29">
            <w:t>11</w:t>
          </w:r>
          <w:r w:rsidR="00364298">
            <w:t>/6/2019</w:t>
          </w:r>
        </w:sdtContent>
      </w:sdt>
    </w:p>
    <w:p w14:paraId="76FD3474" w14:textId="5CD8339C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64298">
            <w:t>2/10/2020</w:t>
          </w:r>
        </w:sdtContent>
      </w:sdt>
    </w:p>
    <w:p w14:paraId="6AD24045" w14:textId="4AECAC2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364298">
            <w:t>2020/2021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42351931" w14:textId="77777777" w:rsidR="00D96CE8" w:rsidRDefault="00D96CE8" w:rsidP="00D96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Team Sports:</w:t>
      </w:r>
      <w:r>
        <w:rPr>
          <w:rStyle w:val="normaltextrun"/>
          <w:rFonts w:ascii="Calibri" w:hAnsi="Calibri" w:cs="Calibri"/>
        </w:rPr>
        <w:t xml:space="preserve"> Soccer, Volleyball, Football, Lacrosse, </w:t>
      </w:r>
    </w:p>
    <w:p w14:paraId="0A14527B" w14:textId="18694D4E" w:rsidR="00D96CE8" w:rsidRDefault="00D96CE8" w:rsidP="00D96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Recreational Sports:</w:t>
      </w:r>
      <w:r>
        <w:rPr>
          <w:rStyle w:val="normaltextrun"/>
          <w:rFonts w:ascii="Calibri" w:hAnsi="Calibri" w:cs="Calibri"/>
        </w:rPr>
        <w:t xml:space="preserve"> Ultimate Disc, Kickball/Variations, Structured Games</w:t>
      </w:r>
      <w:r w:rsidR="00EB4424">
        <w:rPr>
          <w:rStyle w:val="eop"/>
          <w:rFonts w:ascii="Calibri" w:hAnsi="Calibri" w:cs="Calibri"/>
        </w:rPr>
        <w:t xml:space="preserve">, </w:t>
      </w:r>
    </w:p>
    <w:p w14:paraId="48ACFED1" w14:textId="77777777" w:rsidR="00D96CE8" w:rsidRDefault="00D96CE8" w:rsidP="00D96C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Individual/Dual Sports:</w:t>
      </w:r>
      <w:r>
        <w:rPr>
          <w:rStyle w:val="normaltextrun"/>
          <w:rFonts w:ascii="Calibri" w:hAnsi="Calibri" w:cs="Calibri"/>
        </w:rPr>
        <w:t xml:space="preserve"> Tennis, Golf, Track &amp; Field, Cooperative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39A43C76" w14:textId="77777777" w:rsidR="00352D54" w:rsidRPr="00A44C46" w:rsidRDefault="00352D54" w:rsidP="00352D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Team Sports</w:t>
      </w:r>
      <w:r w:rsidRPr="00A44C46">
        <w:rPr>
          <w:rFonts w:ascii="Calibri" w:eastAsia="Times New Roman" w:hAnsi="Calibri" w:cs="Calibri"/>
          <w:i/>
          <w:iCs/>
          <w:sz w:val="24"/>
          <w:szCs w:val="24"/>
        </w:rPr>
        <w:t>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Basketball, Floor Hockey, Team Handball</w:t>
      </w:r>
      <w:r>
        <w:rPr>
          <w:rFonts w:ascii="Calibri" w:eastAsia="Times New Roman" w:hAnsi="Calibri" w:cs="Calibri"/>
          <w:sz w:val="24"/>
          <w:szCs w:val="24"/>
        </w:rPr>
        <w:t>, Softball/Baseball</w:t>
      </w:r>
    </w:p>
    <w:p w14:paraId="6CB05C59" w14:textId="6702529D" w:rsidR="00352D54" w:rsidRPr="00A44C46" w:rsidRDefault="00352D54" w:rsidP="00352D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Recreational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Bowling, </w:t>
      </w:r>
      <w:r>
        <w:rPr>
          <w:rFonts w:ascii="Calibri" w:eastAsia="Times New Roman" w:hAnsi="Calibri" w:cs="Calibri"/>
          <w:sz w:val="24"/>
          <w:szCs w:val="24"/>
        </w:rPr>
        <w:t>4-Square,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Structured Games</w:t>
      </w:r>
      <w:r w:rsidR="00EB4424">
        <w:rPr>
          <w:rFonts w:ascii="Calibri" w:eastAsia="Times New Roman" w:hAnsi="Calibri" w:cs="Calibri"/>
          <w:sz w:val="24"/>
          <w:szCs w:val="24"/>
        </w:rPr>
        <w:t xml:space="preserve">, </w:t>
      </w:r>
    </w:p>
    <w:p w14:paraId="44D3A83C" w14:textId="0D220565" w:rsidR="00352D54" w:rsidRPr="00A44C46" w:rsidRDefault="00352D54" w:rsidP="00352D5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Individual/Dual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Racquet Sports, Cooperative Activities</w:t>
      </w:r>
      <w:r w:rsidR="00EB4424">
        <w:rPr>
          <w:rFonts w:ascii="Calibri" w:eastAsia="Times New Roman" w:hAnsi="Calibri" w:cs="Calibri"/>
          <w:sz w:val="24"/>
          <w:szCs w:val="24"/>
        </w:rPr>
        <w:t>, Weightlifting, Walking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4B15688" w14:textId="77777777" w:rsidR="003A36E1" w:rsidRPr="00A44C46" w:rsidRDefault="003A36E1" w:rsidP="003A36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Team Sports</w:t>
      </w:r>
      <w:r w:rsidRPr="00A44C46">
        <w:rPr>
          <w:rFonts w:ascii="Calibri" w:eastAsia="Times New Roman" w:hAnsi="Calibri" w:cs="Calibri"/>
          <w:i/>
          <w:iCs/>
          <w:sz w:val="24"/>
          <w:szCs w:val="24"/>
        </w:rPr>
        <w:t>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Basketball, Floor Hockey, Team Handball</w:t>
      </w:r>
      <w:r>
        <w:rPr>
          <w:rFonts w:ascii="Calibri" w:eastAsia="Times New Roman" w:hAnsi="Calibri" w:cs="Calibri"/>
          <w:sz w:val="24"/>
          <w:szCs w:val="24"/>
        </w:rPr>
        <w:t>, Softball/Baseball</w:t>
      </w:r>
    </w:p>
    <w:p w14:paraId="0251823E" w14:textId="77777777" w:rsidR="003A36E1" w:rsidRPr="00A44C46" w:rsidRDefault="003A36E1" w:rsidP="003A36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Recreational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Bowling, </w:t>
      </w:r>
      <w:r>
        <w:rPr>
          <w:rFonts w:ascii="Calibri" w:eastAsia="Times New Roman" w:hAnsi="Calibri" w:cs="Calibri"/>
          <w:sz w:val="24"/>
          <w:szCs w:val="24"/>
        </w:rPr>
        <w:t>4-Square,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Structured Games</w:t>
      </w:r>
    </w:p>
    <w:p w14:paraId="0BFE280B" w14:textId="540648A8" w:rsidR="003A36E1" w:rsidRPr="00A44C46" w:rsidRDefault="003A36E1" w:rsidP="003A36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Individual/Dual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Racquet Sports, Cooperative Activities</w:t>
      </w:r>
      <w:r w:rsidR="00EB4424">
        <w:rPr>
          <w:rFonts w:ascii="Calibri" w:eastAsia="Times New Roman" w:hAnsi="Calibri" w:cs="Calibri"/>
          <w:sz w:val="24"/>
          <w:szCs w:val="24"/>
        </w:rPr>
        <w:t xml:space="preserve">, </w:t>
      </w:r>
      <w:r w:rsidR="00EB4424">
        <w:rPr>
          <w:rFonts w:ascii="Calibri" w:eastAsia="Times New Roman" w:hAnsi="Calibri" w:cs="Calibri"/>
          <w:sz w:val="24"/>
          <w:szCs w:val="24"/>
        </w:rPr>
        <w:t>Weightlifting, Walking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E790C8C" w14:textId="77777777" w:rsidR="00E91FD9" w:rsidRDefault="00E91FD9" w:rsidP="00E91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Team Sports:</w:t>
      </w:r>
      <w:r>
        <w:rPr>
          <w:rStyle w:val="normaltextrun"/>
          <w:rFonts w:ascii="Calibri" w:hAnsi="Calibri" w:cs="Calibri"/>
        </w:rPr>
        <w:t xml:space="preserve"> Soccer, Volleyball, Football, Lacrosse, </w:t>
      </w:r>
    </w:p>
    <w:p w14:paraId="34E3400F" w14:textId="77777777" w:rsidR="00E91FD9" w:rsidRDefault="00E91FD9" w:rsidP="00E91F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Recreational Sports:</w:t>
      </w:r>
      <w:r>
        <w:rPr>
          <w:rStyle w:val="normaltextrun"/>
          <w:rFonts w:ascii="Calibri" w:hAnsi="Calibri" w:cs="Calibri"/>
        </w:rPr>
        <w:t xml:space="preserve"> Ultimate Disc, Kickball/Variations, Structured Games</w:t>
      </w:r>
      <w:r>
        <w:rPr>
          <w:rStyle w:val="eop"/>
          <w:rFonts w:ascii="Calibri" w:hAnsi="Calibri" w:cs="Calibri"/>
        </w:rPr>
        <w:t> </w:t>
      </w:r>
    </w:p>
    <w:p w14:paraId="0D1D5A31" w14:textId="77777777" w:rsidR="00E91FD9" w:rsidRPr="00BE3220" w:rsidRDefault="00E91FD9" w:rsidP="00E91FD9">
      <w:pPr>
        <w:tabs>
          <w:tab w:val="center" w:pos="4680"/>
        </w:tabs>
        <w:rPr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Individual/Dual Sports:</w:t>
      </w:r>
      <w:r>
        <w:rPr>
          <w:rStyle w:val="normaltextrun"/>
          <w:rFonts w:ascii="Calibri" w:hAnsi="Calibri" w:cs="Calibri"/>
        </w:rPr>
        <w:t xml:space="preserve"> Tennis, Golf, Track &amp; Field, Cooperative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025"/>
        <w:gridCol w:w="2160"/>
        <w:gridCol w:w="1170"/>
      </w:tblGrid>
      <w:tr w:rsidR="008A44A9" w14:paraId="104FF57C" w14:textId="77777777" w:rsidTr="006A3889">
        <w:trPr>
          <w:tblHeader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303EA2">
        <w:trPr>
          <w:trHeight w:val="440"/>
        </w:trPr>
        <w:tc>
          <w:tcPr>
            <w:tcW w:w="6025" w:type="dxa"/>
            <w:tcBorders>
              <w:top w:val="single" w:sz="4" w:space="0" w:color="auto"/>
            </w:tcBorders>
          </w:tcPr>
          <w:p w14:paraId="66894E77" w14:textId="3B26EEAF" w:rsidR="00411762" w:rsidRDefault="0009421F" w:rsidP="00303EA2">
            <w:pPr>
              <w:rPr>
                <w:rFonts w:ascii="Calibri" w:hAnsi="Calibri" w:cs="Calibri"/>
                <w:color w:val="000000"/>
              </w:rPr>
            </w:pPr>
            <w:r>
              <w:t xml:space="preserve">Evaluate the benefits, risks and safety factors associated with </w:t>
            </w:r>
            <w:r w:rsidR="0069609D">
              <w:t>self-selected</w:t>
            </w:r>
            <w:r>
              <w:t xml:space="preserve"> life-long physical activities.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1DDD45C" w14:textId="77777777" w:rsidR="00303EA2" w:rsidRDefault="00703CEB" w:rsidP="00411762">
            <w:r>
              <w:t xml:space="preserve">Safety and Injury Prevention </w:t>
            </w:r>
          </w:p>
          <w:p w14:paraId="3C9422D1" w14:textId="74A966E8" w:rsidR="00411762" w:rsidRDefault="00703CEB" w:rsidP="00411762">
            <w:pPr>
              <w:rPr>
                <w:rFonts w:ascii="Calibri" w:hAnsi="Calibri" w:cs="Calibri"/>
              </w:rPr>
            </w:pPr>
            <w:r>
              <w:t>10.3.12 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609E438" w14:textId="77777777" w:rsidR="00411762" w:rsidRPr="00303EA2" w:rsidRDefault="00CF67D1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1A0881DF" w14:textId="593D3EE0" w:rsidR="00CF67D1" w:rsidRPr="00554304" w:rsidRDefault="00CF67D1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 xml:space="preserve">MP 2 </w:t>
            </w:r>
            <w:r w:rsidR="00303EA2" w:rsidRPr="00303EA2">
              <w:rPr>
                <w:sz w:val="20"/>
                <w:szCs w:val="20"/>
              </w:rPr>
              <w:t>&amp; 3</w:t>
            </w:r>
          </w:p>
        </w:tc>
      </w:tr>
      <w:tr w:rsidR="00303EA2" w14:paraId="33EE2453" w14:textId="77777777" w:rsidTr="00303EA2">
        <w:tc>
          <w:tcPr>
            <w:tcW w:w="6025" w:type="dxa"/>
          </w:tcPr>
          <w:p w14:paraId="4C35C573" w14:textId="6E06DE97" w:rsidR="00303EA2" w:rsidRDefault="00303EA2" w:rsidP="00303EA2">
            <w:pPr>
              <w:rPr>
                <w:rFonts w:ascii="Calibri" w:hAnsi="Calibri" w:cs="Calibri"/>
              </w:rPr>
            </w:pPr>
            <w:r>
              <w:t>Evaluate and engage in an individualized physical activity plan that supports achievement of personal fitness and activity goals and promotes life-long participation.</w:t>
            </w:r>
          </w:p>
        </w:tc>
        <w:tc>
          <w:tcPr>
            <w:tcW w:w="2160" w:type="dxa"/>
            <w:vAlign w:val="center"/>
          </w:tcPr>
          <w:p w14:paraId="45E4ADE2" w14:textId="124296A5" w:rsidR="00303EA2" w:rsidRDefault="00303EA2" w:rsidP="00303EA2">
            <w:pPr>
              <w:rPr>
                <w:rFonts w:ascii="Calibri" w:hAnsi="Calibri" w:cs="Calibri"/>
              </w:rPr>
            </w:pPr>
            <w:r>
              <w:t>Physical Activity 10.4.12.</w:t>
            </w:r>
            <w:r>
              <w:t xml:space="preserve"> </w:t>
            </w:r>
            <w:proofErr w:type="gramStart"/>
            <w:r>
              <w:t>A</w:t>
            </w:r>
            <w:proofErr w:type="gramEnd"/>
          </w:p>
        </w:tc>
        <w:tc>
          <w:tcPr>
            <w:tcW w:w="1170" w:type="dxa"/>
          </w:tcPr>
          <w:p w14:paraId="24EDDC0A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70EFA086" w14:textId="541F2B8C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14:paraId="68131D10" w14:textId="77777777" w:rsidTr="00303EA2">
        <w:tc>
          <w:tcPr>
            <w:tcW w:w="6025" w:type="dxa"/>
          </w:tcPr>
          <w:p w14:paraId="51F45081" w14:textId="3D1F4EE8" w:rsidR="00303EA2" w:rsidRDefault="00303EA2" w:rsidP="00303EA2">
            <w:pPr>
              <w:rPr>
                <w:rFonts w:ascii="Calibri" w:hAnsi="Calibri" w:cs="Calibri"/>
              </w:rPr>
            </w:pPr>
            <w:r>
              <w:t>Analyze the effects of regular participation in a self-selected program of moderate to vigorous physical activities.</w:t>
            </w:r>
          </w:p>
        </w:tc>
        <w:tc>
          <w:tcPr>
            <w:tcW w:w="2160" w:type="dxa"/>
            <w:vAlign w:val="center"/>
          </w:tcPr>
          <w:p w14:paraId="24C1423A" w14:textId="1F99FFCD" w:rsidR="00303EA2" w:rsidRDefault="00303EA2" w:rsidP="00303EA2">
            <w:pPr>
              <w:rPr>
                <w:rFonts w:ascii="Calibri" w:hAnsi="Calibri" w:cs="Calibri"/>
              </w:rPr>
            </w:pPr>
            <w:r>
              <w:t>Physical Activity 10.4.12.</w:t>
            </w:r>
            <w:r>
              <w:t xml:space="preserve"> </w:t>
            </w:r>
            <w:proofErr w:type="gramStart"/>
            <w:r>
              <w:t>A</w:t>
            </w:r>
            <w:proofErr w:type="gramEnd"/>
          </w:p>
        </w:tc>
        <w:tc>
          <w:tcPr>
            <w:tcW w:w="1170" w:type="dxa"/>
          </w:tcPr>
          <w:p w14:paraId="226E7587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25166AFC" w14:textId="029F72D2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14:paraId="61F7AF15" w14:textId="77777777" w:rsidTr="00303EA2">
        <w:tc>
          <w:tcPr>
            <w:tcW w:w="6025" w:type="dxa"/>
          </w:tcPr>
          <w:p w14:paraId="404ECEA5" w14:textId="71996010" w:rsidR="00303EA2" w:rsidRDefault="00303EA2" w:rsidP="00303EA2">
            <w:pPr>
              <w:rPr>
                <w:rFonts w:ascii="Calibri" w:hAnsi="Calibri" w:cs="Calibri"/>
              </w:rPr>
            </w:pPr>
            <w:r>
              <w:t>Evaluate factors that affect physical activity and exercise preferences of adults.</w:t>
            </w:r>
          </w:p>
        </w:tc>
        <w:tc>
          <w:tcPr>
            <w:tcW w:w="2160" w:type="dxa"/>
            <w:vAlign w:val="center"/>
          </w:tcPr>
          <w:p w14:paraId="2A5A75FF" w14:textId="71F7165D" w:rsidR="00303EA2" w:rsidRDefault="00303EA2" w:rsidP="00303EA2">
            <w:pPr>
              <w:rPr>
                <w:rFonts w:ascii="Calibri" w:hAnsi="Calibri" w:cs="Calibri"/>
              </w:rPr>
            </w:pPr>
            <w:r>
              <w:t>Physical Activity 10.4.12.</w:t>
            </w:r>
            <w:r>
              <w:t xml:space="preserve"> </w:t>
            </w:r>
            <w:proofErr w:type="gramStart"/>
            <w:r>
              <w:t>D</w:t>
            </w:r>
            <w:proofErr w:type="gramEnd"/>
          </w:p>
        </w:tc>
        <w:tc>
          <w:tcPr>
            <w:tcW w:w="1170" w:type="dxa"/>
          </w:tcPr>
          <w:p w14:paraId="6367F982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6B6D7A3F" w14:textId="26DBED0F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14:paraId="77BDF5B1" w14:textId="77777777" w:rsidTr="00303EA2">
        <w:tc>
          <w:tcPr>
            <w:tcW w:w="6025" w:type="dxa"/>
          </w:tcPr>
          <w:p w14:paraId="76049D8E" w14:textId="684EC878" w:rsidR="00303EA2" w:rsidRDefault="00303EA2" w:rsidP="00303EA2">
            <w:pPr>
              <w:rPr>
                <w:rFonts w:ascii="Calibri" w:hAnsi="Calibri" w:cs="Calibri"/>
              </w:rPr>
            </w:pPr>
            <w:r>
              <w:t>Analyze the interrelationships among regular participation in physical activity, motor skill improvement and the selection and engagement in lifetime physical activities.</w:t>
            </w:r>
          </w:p>
        </w:tc>
        <w:tc>
          <w:tcPr>
            <w:tcW w:w="2160" w:type="dxa"/>
            <w:vAlign w:val="center"/>
          </w:tcPr>
          <w:p w14:paraId="2A1D4421" w14:textId="3064FB82" w:rsidR="00303EA2" w:rsidRDefault="00303EA2" w:rsidP="00303EA2">
            <w:pPr>
              <w:rPr>
                <w:rFonts w:ascii="Calibri" w:hAnsi="Calibri" w:cs="Calibri"/>
              </w:rPr>
            </w:pPr>
            <w:r>
              <w:t>Physical Activity 10.4.12.</w:t>
            </w:r>
            <w:r>
              <w:t xml:space="preserve"> </w:t>
            </w:r>
            <w:r>
              <w:t>E</w:t>
            </w:r>
            <w:r>
              <w:t xml:space="preserve"> </w:t>
            </w:r>
          </w:p>
        </w:tc>
        <w:tc>
          <w:tcPr>
            <w:tcW w:w="1170" w:type="dxa"/>
          </w:tcPr>
          <w:p w14:paraId="15A90ACC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3FCB5D10" w14:textId="110FE9E9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14:paraId="49A62192" w14:textId="77777777" w:rsidTr="00303EA2">
        <w:tc>
          <w:tcPr>
            <w:tcW w:w="6025" w:type="dxa"/>
          </w:tcPr>
          <w:p w14:paraId="4D87810F" w14:textId="5A74AEC3" w:rsidR="00303EA2" w:rsidRDefault="00303EA2" w:rsidP="00303EA2">
            <w:pPr>
              <w:rPr>
                <w:rFonts w:ascii="Calibri" w:hAnsi="Calibri" w:cs="Calibri"/>
              </w:rPr>
            </w:pPr>
            <w:r>
              <w:t>Assess and use strategies for enhancing adult group interaction in physical activities.</w:t>
            </w:r>
          </w:p>
        </w:tc>
        <w:tc>
          <w:tcPr>
            <w:tcW w:w="2160" w:type="dxa"/>
            <w:vAlign w:val="center"/>
          </w:tcPr>
          <w:p w14:paraId="626EFCBB" w14:textId="2D116FE9" w:rsidR="00303EA2" w:rsidRDefault="00303EA2" w:rsidP="00303EA2">
            <w:pPr>
              <w:rPr>
                <w:rFonts w:ascii="Calibri" w:hAnsi="Calibri" w:cs="Calibri"/>
              </w:rPr>
            </w:pPr>
            <w:r>
              <w:t>Physical Activity 10.4.12.</w:t>
            </w:r>
            <w:r>
              <w:t xml:space="preserve"> </w:t>
            </w:r>
            <w:proofErr w:type="gramStart"/>
            <w:r>
              <w:t>F</w:t>
            </w:r>
            <w:proofErr w:type="gramEnd"/>
          </w:p>
        </w:tc>
        <w:tc>
          <w:tcPr>
            <w:tcW w:w="1170" w:type="dxa"/>
          </w:tcPr>
          <w:p w14:paraId="1B392DA0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56E27B6E" w14:textId="7B9810A3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14:paraId="362FC2C2" w14:textId="77777777" w:rsidTr="00303EA2">
        <w:tc>
          <w:tcPr>
            <w:tcW w:w="6025" w:type="dxa"/>
          </w:tcPr>
          <w:p w14:paraId="0562CC7D" w14:textId="3C1ADC5D" w:rsidR="00303EA2" w:rsidRDefault="00303EA2" w:rsidP="00303EA2">
            <w:pPr>
              <w:rPr>
                <w:rFonts w:ascii="Calibri" w:hAnsi="Calibri" w:cs="Calibri"/>
              </w:rPr>
            </w:pPr>
            <w:r>
              <w:t xml:space="preserve">Apply knowledge of movement skills, skill-related </w:t>
            </w:r>
            <w:proofErr w:type="gramStart"/>
            <w:r>
              <w:t>fitness</w:t>
            </w:r>
            <w:proofErr w:type="gramEnd"/>
            <w:r>
              <w:t xml:space="preserve"> and movement concepts to identify and evaluate physical activities that promote personal lifelong participation.</w:t>
            </w:r>
          </w:p>
        </w:tc>
        <w:tc>
          <w:tcPr>
            <w:tcW w:w="2160" w:type="dxa"/>
            <w:vAlign w:val="center"/>
          </w:tcPr>
          <w:p w14:paraId="6CC8B37F" w14:textId="77777777" w:rsidR="00303EA2" w:rsidRDefault="00303EA2" w:rsidP="00303EA2">
            <w:r>
              <w:t xml:space="preserve">Concepts, Principles and Strategies of Movement </w:t>
            </w:r>
          </w:p>
          <w:p w14:paraId="3A4B80D9" w14:textId="56288D7C" w:rsidR="00303EA2" w:rsidRDefault="00303EA2" w:rsidP="00303EA2">
            <w:pPr>
              <w:rPr>
                <w:rFonts w:ascii="Calibri" w:hAnsi="Calibri" w:cs="Calibri"/>
              </w:rPr>
            </w:pPr>
            <w:r>
              <w:t>10.5.12.</w:t>
            </w:r>
            <w:r>
              <w:t xml:space="preserve"> </w:t>
            </w:r>
            <w:proofErr w:type="gramStart"/>
            <w:r>
              <w:t>A</w:t>
            </w:r>
            <w:proofErr w:type="gramEnd"/>
          </w:p>
        </w:tc>
        <w:tc>
          <w:tcPr>
            <w:tcW w:w="1170" w:type="dxa"/>
          </w:tcPr>
          <w:p w14:paraId="7DDD45AD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7D9AC977" w14:textId="2CC6F4D6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:rsidRPr="00AA05C3" w14:paraId="606AC3EB" w14:textId="77777777" w:rsidTr="00303EA2">
        <w:tc>
          <w:tcPr>
            <w:tcW w:w="6025" w:type="dxa"/>
          </w:tcPr>
          <w:p w14:paraId="614F4EF0" w14:textId="0CE3FEB8" w:rsidR="00303EA2" w:rsidRDefault="00303EA2" w:rsidP="00303EA2">
            <w:pPr>
              <w:rPr>
                <w:rFonts w:ascii="Calibri" w:hAnsi="Calibri" w:cs="Calibri"/>
              </w:rPr>
            </w:pPr>
            <w:r>
              <w:t>Incorporate and synthesize knowledge of motor skill development concepts to improve the quality of motor skills.</w:t>
            </w:r>
          </w:p>
        </w:tc>
        <w:tc>
          <w:tcPr>
            <w:tcW w:w="2160" w:type="dxa"/>
            <w:vAlign w:val="center"/>
          </w:tcPr>
          <w:p w14:paraId="5952123B" w14:textId="77777777" w:rsidR="00303EA2" w:rsidRDefault="00303EA2" w:rsidP="00303EA2">
            <w:r>
              <w:t xml:space="preserve">Concepts, Principles and Strategies of Movement </w:t>
            </w:r>
          </w:p>
          <w:p w14:paraId="3A942B73" w14:textId="6A9B0D17" w:rsidR="00303EA2" w:rsidRDefault="00303EA2" w:rsidP="00303EA2">
            <w:pPr>
              <w:rPr>
                <w:rFonts w:ascii="Calibri" w:hAnsi="Calibri" w:cs="Calibri"/>
              </w:rPr>
            </w:pPr>
            <w:r>
              <w:t>10.5.12.</w:t>
            </w:r>
            <w:r>
              <w:t xml:space="preserve"> </w:t>
            </w:r>
            <w:proofErr w:type="gramStart"/>
            <w:r>
              <w:t>B</w:t>
            </w:r>
            <w:proofErr w:type="gramEnd"/>
          </w:p>
        </w:tc>
        <w:tc>
          <w:tcPr>
            <w:tcW w:w="1170" w:type="dxa"/>
          </w:tcPr>
          <w:p w14:paraId="6CB531AA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6153A195" w14:textId="7E3F3520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:rsidRPr="00AA05C3" w14:paraId="7C7190C8" w14:textId="77777777" w:rsidTr="00303EA2">
        <w:tc>
          <w:tcPr>
            <w:tcW w:w="6025" w:type="dxa"/>
          </w:tcPr>
          <w:p w14:paraId="7AEAF2B2" w14:textId="78AEB629" w:rsidR="00303EA2" w:rsidRDefault="00303EA2" w:rsidP="00303EA2">
            <w:pPr>
              <w:rPr>
                <w:rFonts w:ascii="Calibri" w:hAnsi="Calibri" w:cs="Calibri"/>
              </w:rPr>
            </w:pPr>
            <w:r>
              <w:t>Evaluate the impact of practice strategies on skill development and improvement.</w:t>
            </w:r>
          </w:p>
        </w:tc>
        <w:tc>
          <w:tcPr>
            <w:tcW w:w="2160" w:type="dxa"/>
            <w:vAlign w:val="center"/>
          </w:tcPr>
          <w:p w14:paraId="533A841B" w14:textId="77777777" w:rsidR="00303EA2" w:rsidRDefault="00303EA2" w:rsidP="00303EA2">
            <w:r>
              <w:t xml:space="preserve">Concepts, Principles and Strategies of Movement </w:t>
            </w:r>
          </w:p>
          <w:p w14:paraId="226D9F30" w14:textId="3C924A55" w:rsidR="00303EA2" w:rsidRDefault="00303EA2" w:rsidP="00303EA2">
            <w:pPr>
              <w:rPr>
                <w:rFonts w:ascii="Calibri" w:hAnsi="Calibri" w:cs="Calibri"/>
              </w:rPr>
            </w:pPr>
            <w:r>
              <w:t>10.5.12.</w:t>
            </w:r>
            <w:r>
              <w:t xml:space="preserve"> </w:t>
            </w:r>
            <w:r>
              <w:t>C</w:t>
            </w:r>
          </w:p>
        </w:tc>
        <w:tc>
          <w:tcPr>
            <w:tcW w:w="1170" w:type="dxa"/>
          </w:tcPr>
          <w:p w14:paraId="49D4435D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6280A61D" w14:textId="6F292E1C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  <w:tr w:rsidR="00303EA2" w:rsidRPr="00AA05C3" w14:paraId="398364C6" w14:textId="77777777" w:rsidTr="00303EA2">
        <w:tc>
          <w:tcPr>
            <w:tcW w:w="6025" w:type="dxa"/>
          </w:tcPr>
          <w:p w14:paraId="2BCC383A" w14:textId="540F8704" w:rsidR="00303EA2" w:rsidRDefault="00303EA2" w:rsidP="00303EA2">
            <w:pPr>
              <w:rPr>
                <w:rFonts w:ascii="Calibri" w:hAnsi="Calibri" w:cs="Calibri"/>
              </w:rPr>
            </w:pPr>
            <w:r>
              <w:t>Evaluate the impact of practice strategies on skill development and improvement.</w:t>
            </w:r>
          </w:p>
        </w:tc>
        <w:tc>
          <w:tcPr>
            <w:tcW w:w="2160" w:type="dxa"/>
            <w:vAlign w:val="center"/>
          </w:tcPr>
          <w:p w14:paraId="7CF40CB8" w14:textId="77777777" w:rsidR="00303EA2" w:rsidRDefault="00303EA2" w:rsidP="00303EA2">
            <w:r>
              <w:t>Concepts, Principles and Strategies of Movement 1</w:t>
            </w:r>
          </w:p>
          <w:p w14:paraId="5495CE61" w14:textId="06EAE8DD" w:rsidR="00303EA2" w:rsidRDefault="00303EA2" w:rsidP="00303EA2">
            <w:pPr>
              <w:rPr>
                <w:rFonts w:ascii="Calibri" w:hAnsi="Calibri" w:cs="Calibri"/>
              </w:rPr>
            </w:pPr>
            <w:r>
              <w:t>0.5.12.</w:t>
            </w:r>
            <w:r>
              <w:t xml:space="preserve"> </w:t>
            </w:r>
            <w:proofErr w:type="gramStart"/>
            <w:r>
              <w:t>F</w:t>
            </w:r>
            <w:proofErr w:type="gramEnd"/>
          </w:p>
        </w:tc>
        <w:tc>
          <w:tcPr>
            <w:tcW w:w="1170" w:type="dxa"/>
          </w:tcPr>
          <w:p w14:paraId="40A27FD6" w14:textId="77777777" w:rsidR="00303EA2" w:rsidRPr="00303EA2" w:rsidRDefault="00303EA2" w:rsidP="00303EA2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303EA2">
              <w:rPr>
                <w:sz w:val="20"/>
                <w:szCs w:val="20"/>
              </w:rPr>
              <w:t>MP 1 &amp; 4</w:t>
            </w:r>
          </w:p>
          <w:p w14:paraId="121B39C1" w14:textId="350EFEB3" w:rsidR="00303EA2" w:rsidRPr="00554304" w:rsidRDefault="00303EA2" w:rsidP="00303EA2">
            <w:pPr>
              <w:rPr>
                <w:sz w:val="12"/>
                <w:szCs w:val="12"/>
              </w:rPr>
            </w:pPr>
            <w:r w:rsidRPr="00303EA2">
              <w:rPr>
                <w:sz w:val="20"/>
                <w:szCs w:val="20"/>
              </w:rPr>
              <w:t>MP 2 &amp; 3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F1F0C1F" w14:textId="77777777" w:rsidR="006A3889" w:rsidRDefault="006A388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B76441C" w14:textId="77777777" w:rsidR="006A3889" w:rsidRDefault="006A388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D5184E" w14:textId="77777777" w:rsidR="006A3889" w:rsidRDefault="006A388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7B4F0BF" w14:textId="77777777" w:rsidR="006A3889" w:rsidRDefault="006A388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406801D" w14:textId="77777777" w:rsidR="006A3889" w:rsidRDefault="006A388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7AAAF7F" w14:textId="77777777" w:rsidR="006A3889" w:rsidRDefault="006A388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1E30F81A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64F89764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</w:t>
      </w:r>
      <w:proofErr w:type="gramStart"/>
      <w:r w:rsidR="00F25C8E">
        <w:rPr>
          <w:b/>
        </w:rPr>
        <w:t>include:</w:t>
      </w:r>
      <w:proofErr w:type="gramEnd"/>
      <w:r w:rsidR="00EB0256">
        <w:rPr>
          <w:b/>
        </w:rPr>
        <w:t xml:space="preserve"> </w:t>
      </w:r>
      <w:r w:rsidR="00EB0256">
        <w:t>Teacher observation and skill assessment.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4CE5D66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 xml:space="preserve">sments for this course </w:t>
      </w:r>
      <w:proofErr w:type="gramStart"/>
      <w:r w:rsidR="00F25C8E">
        <w:rPr>
          <w:b/>
        </w:rPr>
        <w:t>include:</w:t>
      </w:r>
      <w:proofErr w:type="gramEnd"/>
      <w:r w:rsidR="00A35A0B">
        <w:rPr>
          <w:b/>
        </w:rPr>
        <w:t xml:space="preserve"> </w:t>
      </w:r>
      <w:r w:rsidR="00A35A0B">
        <w:t>Teacher observation and skill assessment.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45D4" w14:textId="77777777" w:rsidR="009656B5" w:rsidRDefault="009656B5" w:rsidP="005F535D">
      <w:pPr>
        <w:spacing w:after="0" w:line="240" w:lineRule="auto"/>
      </w:pPr>
      <w:r>
        <w:separator/>
      </w:r>
    </w:p>
  </w:endnote>
  <w:endnote w:type="continuationSeparator" w:id="0">
    <w:p w14:paraId="61D3946F" w14:textId="77777777" w:rsidR="009656B5" w:rsidRDefault="009656B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D361" w14:textId="77777777" w:rsidR="009656B5" w:rsidRDefault="009656B5" w:rsidP="005F535D">
      <w:pPr>
        <w:spacing w:after="0" w:line="240" w:lineRule="auto"/>
      </w:pPr>
      <w:r>
        <w:separator/>
      </w:r>
    </w:p>
  </w:footnote>
  <w:footnote w:type="continuationSeparator" w:id="0">
    <w:p w14:paraId="19A936C3" w14:textId="77777777" w:rsidR="009656B5" w:rsidRDefault="009656B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9421F"/>
    <w:rsid w:val="000B1463"/>
    <w:rsid w:val="000B542D"/>
    <w:rsid w:val="000F7DF6"/>
    <w:rsid w:val="00106F57"/>
    <w:rsid w:val="001445F7"/>
    <w:rsid w:val="001D4B68"/>
    <w:rsid w:val="001D6D3F"/>
    <w:rsid w:val="001F3157"/>
    <w:rsid w:val="0021099F"/>
    <w:rsid w:val="00222BAF"/>
    <w:rsid w:val="00233FF6"/>
    <w:rsid w:val="002872D0"/>
    <w:rsid w:val="002A51C1"/>
    <w:rsid w:val="002D7128"/>
    <w:rsid w:val="002D7708"/>
    <w:rsid w:val="002E0453"/>
    <w:rsid w:val="002E4B5B"/>
    <w:rsid w:val="00303EA2"/>
    <w:rsid w:val="00352D54"/>
    <w:rsid w:val="00364298"/>
    <w:rsid w:val="0037005B"/>
    <w:rsid w:val="003748AD"/>
    <w:rsid w:val="003A36E1"/>
    <w:rsid w:val="003E27C4"/>
    <w:rsid w:val="003F35A5"/>
    <w:rsid w:val="00411762"/>
    <w:rsid w:val="00416C75"/>
    <w:rsid w:val="00472373"/>
    <w:rsid w:val="00477969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F00CA"/>
    <w:rsid w:val="005F2002"/>
    <w:rsid w:val="005F535D"/>
    <w:rsid w:val="00615DC6"/>
    <w:rsid w:val="00642A3E"/>
    <w:rsid w:val="006673BF"/>
    <w:rsid w:val="0069609D"/>
    <w:rsid w:val="006A3889"/>
    <w:rsid w:val="006B7B66"/>
    <w:rsid w:val="006D28DA"/>
    <w:rsid w:val="006D4C30"/>
    <w:rsid w:val="00703CEB"/>
    <w:rsid w:val="007429F8"/>
    <w:rsid w:val="00751CF2"/>
    <w:rsid w:val="00772B43"/>
    <w:rsid w:val="007870C3"/>
    <w:rsid w:val="007A30D0"/>
    <w:rsid w:val="007B3263"/>
    <w:rsid w:val="007D0A7F"/>
    <w:rsid w:val="007D3C02"/>
    <w:rsid w:val="00801417"/>
    <w:rsid w:val="00886D86"/>
    <w:rsid w:val="008A3F75"/>
    <w:rsid w:val="008A44A9"/>
    <w:rsid w:val="008D65B0"/>
    <w:rsid w:val="008E6BE6"/>
    <w:rsid w:val="009444EA"/>
    <w:rsid w:val="00951201"/>
    <w:rsid w:val="009656B5"/>
    <w:rsid w:val="00972718"/>
    <w:rsid w:val="00987387"/>
    <w:rsid w:val="009B4BE9"/>
    <w:rsid w:val="009D193A"/>
    <w:rsid w:val="009E2E16"/>
    <w:rsid w:val="00A02591"/>
    <w:rsid w:val="00A34946"/>
    <w:rsid w:val="00A35A0B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D09E4"/>
    <w:rsid w:val="00BE3220"/>
    <w:rsid w:val="00C040F8"/>
    <w:rsid w:val="00C04E29"/>
    <w:rsid w:val="00C06854"/>
    <w:rsid w:val="00C11365"/>
    <w:rsid w:val="00C436ED"/>
    <w:rsid w:val="00C7166A"/>
    <w:rsid w:val="00C952EB"/>
    <w:rsid w:val="00CB58A0"/>
    <w:rsid w:val="00CE7B74"/>
    <w:rsid w:val="00CF67D1"/>
    <w:rsid w:val="00D07C92"/>
    <w:rsid w:val="00D621F2"/>
    <w:rsid w:val="00D70673"/>
    <w:rsid w:val="00D870F7"/>
    <w:rsid w:val="00D96CE8"/>
    <w:rsid w:val="00DA21EC"/>
    <w:rsid w:val="00DA69F9"/>
    <w:rsid w:val="00DB35FF"/>
    <w:rsid w:val="00DE6A8D"/>
    <w:rsid w:val="00E313E4"/>
    <w:rsid w:val="00E352C5"/>
    <w:rsid w:val="00E629A6"/>
    <w:rsid w:val="00E63B2A"/>
    <w:rsid w:val="00E91FD9"/>
    <w:rsid w:val="00E965D0"/>
    <w:rsid w:val="00EB0256"/>
    <w:rsid w:val="00EB4424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9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96CE8"/>
  </w:style>
  <w:style w:type="character" w:customStyle="1" w:styleId="eop">
    <w:name w:val="eop"/>
    <w:basedOn w:val="DefaultParagraphFont"/>
    <w:rsid w:val="00D9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C356E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24</cp:revision>
  <cp:lastPrinted>2020-12-18T18:34:00Z</cp:lastPrinted>
  <dcterms:created xsi:type="dcterms:W3CDTF">2022-05-18T11:41:00Z</dcterms:created>
  <dcterms:modified xsi:type="dcterms:W3CDTF">2022-06-01T19:13:00Z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