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5DC4F8B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C4107">
            <w:rPr>
              <w:rFonts w:cstheme="minorHAnsi"/>
            </w:rPr>
            <w:t>Health Grade 2</w:t>
          </w:r>
        </w:sdtContent>
      </w:sdt>
    </w:p>
    <w:p w14:paraId="7DBD16A4" w14:textId="581418E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C4107">
            <w:rPr>
              <w:rFonts w:cstheme="minorHAnsi"/>
            </w:rPr>
            <w:t>08267</w:t>
          </w:r>
        </w:sdtContent>
      </w:sdt>
    </w:p>
    <w:p w14:paraId="5A1A935A" w14:textId="6884E6F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9C4107">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F3C72C9"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EB7719">
            <w:t xml:space="preserve">Elementary Health 2 helps young learners establish a basic understanding of the aspects of health. </w:t>
          </w:r>
          <w:proofErr w:type="gramStart"/>
          <w:r w:rsidR="00EB7719">
            <w:t>Through the use of</w:t>
          </w:r>
          <w:proofErr w:type="gramEnd"/>
          <w:r w:rsidR="00EB7719">
            <w:t xml:space="preserve"> technology, multimedia, guidance staff, and experiences, students focus on the various aspects of their health and how they can make healthy choices. Topics of study include personal safety, healthy behaviors, nutrition, disease prevention, conflict resolution, basic anatomy and physiology, and the values of respect and cooperation.</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B5714A1"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B7719">
            <w:rPr>
              <w:rFonts w:cstheme="minorHAnsi"/>
            </w:rPr>
            <w:t>Grade 2</w:t>
          </w:r>
        </w:sdtContent>
      </w:sdt>
    </w:p>
    <w:p w14:paraId="19574833" w14:textId="0B0A3BC9"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B7719">
            <w:rPr>
              <w:rFonts w:cstheme="minorHAnsi"/>
            </w:rPr>
            <w:t>Once A Week</w:t>
          </w:r>
        </w:sdtContent>
      </w:sdt>
    </w:p>
    <w:p w14:paraId="44798805" w14:textId="14FB1995"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B7719">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04FEA5A8" w:rsidR="00233FF6" w:rsidRPr="002872D0" w:rsidRDefault="00EB7719"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1C146EB9"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EB7719">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DBF727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EB771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E464E6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EB771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ED5BA72"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EB771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369A73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B7719">
            <w:rPr>
              <w:rFonts w:asciiTheme="minorHAnsi" w:hAnsiTheme="minorHAnsi" w:cstheme="minorHAnsi"/>
              <w:color w:val="000000"/>
            </w:rPr>
            <w:t>08072</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282BBEBC" w14:textId="77777777" w:rsidR="00EB7719" w:rsidRDefault="00EB7719" w:rsidP="008A3F75">
      <w:pPr>
        <w:tabs>
          <w:tab w:val="left" w:pos="3231"/>
        </w:tabs>
        <w:rPr>
          <w:b/>
          <w:sz w:val="24"/>
          <w:szCs w:val="24"/>
          <w:u w:val="single"/>
        </w:rPr>
      </w:pPr>
    </w:p>
    <w:p w14:paraId="6532E4A5" w14:textId="1740B350"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7B2238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B7719">
            <w:t>NA</w:t>
          </w:r>
        </w:sdtContent>
      </w:sdt>
    </w:p>
    <w:p w14:paraId="3BDFCBA3" w14:textId="3FC4825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EB7719">
            <w:t>NA</w:t>
          </w:r>
        </w:sdtContent>
      </w:sdt>
    </w:p>
    <w:p w14:paraId="13940A2E" w14:textId="254A84E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EB7719">
            <w:t>NA</w:t>
          </w:r>
        </w:sdtContent>
      </w:sdt>
    </w:p>
    <w:p w14:paraId="315731A5" w14:textId="4504F4E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B7719">
            <w:t>NA</w:t>
          </w:r>
        </w:sdtContent>
      </w:sdt>
    </w:p>
    <w:p w14:paraId="791863D9" w14:textId="4A1FDAD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B7719">
                <w:t>NA</w:t>
              </w:r>
            </w:sdtContent>
          </w:sdt>
        </w:sdtContent>
      </w:sdt>
    </w:p>
    <w:p w14:paraId="37BB8507" w14:textId="7B16DAC3"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EB7719">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40401AD"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05-03T00:00:00Z">
            <w:dateFormat w:val="M/d/yyyy"/>
            <w:lid w:val="en-US"/>
            <w:storeMappedDataAs w:val="dateTime"/>
            <w:calendar w:val="gregorian"/>
          </w:date>
        </w:sdtPr>
        <w:sdtEndPr/>
        <w:sdtContent>
          <w:r w:rsidR="00EB7719">
            <w:t>5/3/2018</w:t>
          </w:r>
        </w:sdtContent>
      </w:sdt>
    </w:p>
    <w:p w14:paraId="76FD3474" w14:textId="794E516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8-06-11T00:00:00Z">
            <w:dateFormat w:val="M/d/yyyy"/>
            <w:lid w:val="en-US"/>
            <w:storeMappedDataAs w:val="dateTime"/>
            <w:calendar w:val="gregorian"/>
          </w:date>
        </w:sdtPr>
        <w:sdtEndPr/>
        <w:sdtContent>
          <w:r w:rsidR="00EB7719">
            <w:t>6/11/2018</w:t>
          </w:r>
        </w:sdtContent>
      </w:sdt>
    </w:p>
    <w:p w14:paraId="6AD24045" w14:textId="13DF84BE"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EB7719">
            <w:t>2018-2019</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2F70441C" w14:textId="77777777" w:rsidR="00EB7719" w:rsidRDefault="00EB7719" w:rsidP="009E2E16">
      <w:pPr>
        <w:tabs>
          <w:tab w:val="center" w:pos="4680"/>
        </w:tabs>
        <w:rPr>
          <w:b/>
          <w:sz w:val="24"/>
          <w:szCs w:val="24"/>
          <w:u w:val="single"/>
        </w:rPr>
      </w:pPr>
    </w:p>
    <w:p w14:paraId="4517F783" w14:textId="00F41903"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34568286" w14:textId="77777777" w:rsidR="00E16A6B" w:rsidRDefault="00E16A6B" w:rsidP="009E2E16">
      <w:pPr>
        <w:tabs>
          <w:tab w:val="center" w:pos="4680"/>
        </w:tabs>
        <w:rPr>
          <w:b/>
          <w:sz w:val="24"/>
          <w:szCs w:val="24"/>
          <w:u w:val="single"/>
        </w:rPr>
      </w:pPr>
    </w:p>
    <w:p w14:paraId="437F3E12" w14:textId="357DC0B4" w:rsidR="00BE3220" w:rsidRDefault="00BE3220" w:rsidP="009E2E16">
      <w:pPr>
        <w:tabs>
          <w:tab w:val="center" w:pos="4680"/>
        </w:tabs>
        <w:rPr>
          <w:b/>
          <w:sz w:val="24"/>
          <w:szCs w:val="24"/>
          <w:u w:val="single"/>
        </w:rPr>
      </w:pPr>
      <w:r>
        <w:rPr>
          <w:b/>
          <w:sz w:val="24"/>
          <w:szCs w:val="24"/>
          <w:u w:val="single"/>
        </w:rPr>
        <w:t xml:space="preserve">Marking Period 1 </w:t>
      </w:r>
    </w:p>
    <w:p w14:paraId="037D1E72" w14:textId="54805DAD" w:rsidR="00BE3220" w:rsidRDefault="00A25DC0" w:rsidP="009E2E16">
      <w:pPr>
        <w:tabs>
          <w:tab w:val="center" w:pos="4680"/>
        </w:tabs>
        <w:rPr>
          <w:sz w:val="24"/>
          <w:szCs w:val="24"/>
        </w:rPr>
      </w:pPr>
      <w:r>
        <w:rPr>
          <w:sz w:val="24"/>
          <w:szCs w:val="24"/>
        </w:rPr>
        <w:t>Nutrition</w:t>
      </w:r>
    </w:p>
    <w:p w14:paraId="3BA87260" w14:textId="037D14F1" w:rsidR="00A25DC0" w:rsidRPr="00BE3220" w:rsidRDefault="00A25DC0" w:rsidP="009E2E16">
      <w:pPr>
        <w:tabs>
          <w:tab w:val="center" w:pos="4680"/>
        </w:tabs>
        <w:rPr>
          <w:sz w:val="24"/>
          <w:szCs w:val="24"/>
        </w:rPr>
      </w:pPr>
      <w:r>
        <w:rPr>
          <w:sz w:val="24"/>
          <w:szCs w:val="24"/>
        </w:rPr>
        <w:t>Emergency Responses</w:t>
      </w:r>
    </w:p>
    <w:p w14:paraId="2BE97016" w14:textId="77777777" w:rsidR="00E16A6B" w:rsidRDefault="00E16A6B" w:rsidP="00BE3220">
      <w:pPr>
        <w:tabs>
          <w:tab w:val="center" w:pos="4680"/>
        </w:tabs>
        <w:rPr>
          <w:b/>
          <w:sz w:val="24"/>
          <w:szCs w:val="24"/>
          <w:u w:val="single"/>
        </w:rPr>
      </w:pPr>
    </w:p>
    <w:p w14:paraId="7205B016" w14:textId="47D75BCC" w:rsidR="00BE3220" w:rsidRDefault="00BE3220" w:rsidP="00BE3220">
      <w:pPr>
        <w:tabs>
          <w:tab w:val="center" w:pos="4680"/>
        </w:tabs>
        <w:rPr>
          <w:b/>
          <w:sz w:val="24"/>
          <w:szCs w:val="24"/>
          <w:u w:val="single"/>
        </w:rPr>
      </w:pPr>
      <w:r>
        <w:rPr>
          <w:b/>
          <w:sz w:val="24"/>
          <w:szCs w:val="24"/>
          <w:u w:val="single"/>
        </w:rPr>
        <w:t>Marking Period 2</w:t>
      </w:r>
    </w:p>
    <w:p w14:paraId="5F41306E" w14:textId="74E93F92" w:rsidR="00BE3220" w:rsidRDefault="00A25DC0" w:rsidP="00BE3220">
      <w:pPr>
        <w:tabs>
          <w:tab w:val="center" w:pos="4680"/>
        </w:tabs>
        <w:rPr>
          <w:sz w:val="24"/>
          <w:szCs w:val="24"/>
        </w:rPr>
      </w:pPr>
      <w:r>
        <w:rPr>
          <w:sz w:val="24"/>
          <w:szCs w:val="24"/>
        </w:rPr>
        <w:t>Health Problems &amp; Disease Prevention</w:t>
      </w:r>
    </w:p>
    <w:p w14:paraId="20215A7D" w14:textId="0FBC00CB" w:rsidR="00A25DC0" w:rsidRDefault="00A25DC0" w:rsidP="00BE3220">
      <w:pPr>
        <w:tabs>
          <w:tab w:val="center" w:pos="4680"/>
        </w:tabs>
        <w:rPr>
          <w:sz w:val="24"/>
          <w:szCs w:val="24"/>
        </w:rPr>
      </w:pPr>
      <w:r>
        <w:rPr>
          <w:sz w:val="24"/>
          <w:szCs w:val="24"/>
        </w:rPr>
        <w:t xml:space="preserve">Health &amp; The Environment </w:t>
      </w:r>
    </w:p>
    <w:p w14:paraId="656DFEDD" w14:textId="77777777" w:rsidR="00E16A6B" w:rsidRDefault="00E16A6B" w:rsidP="00BE3220">
      <w:pPr>
        <w:tabs>
          <w:tab w:val="center" w:pos="4680"/>
        </w:tabs>
        <w:rPr>
          <w:b/>
          <w:sz w:val="24"/>
          <w:szCs w:val="24"/>
          <w:u w:val="single"/>
        </w:rPr>
      </w:pPr>
    </w:p>
    <w:p w14:paraId="62EBD04A" w14:textId="65F0E42A" w:rsidR="00BE3220" w:rsidRDefault="00BE3220" w:rsidP="00BE3220">
      <w:pPr>
        <w:tabs>
          <w:tab w:val="center" w:pos="4680"/>
        </w:tabs>
        <w:rPr>
          <w:b/>
          <w:sz w:val="24"/>
          <w:szCs w:val="24"/>
          <w:u w:val="single"/>
        </w:rPr>
      </w:pPr>
      <w:r>
        <w:rPr>
          <w:b/>
          <w:sz w:val="24"/>
          <w:szCs w:val="24"/>
          <w:u w:val="single"/>
        </w:rPr>
        <w:t xml:space="preserve">Marking Period 3 </w:t>
      </w:r>
    </w:p>
    <w:p w14:paraId="0BA2890B" w14:textId="711862AB" w:rsidR="00BE3220" w:rsidRDefault="00A52EF9" w:rsidP="00BE3220">
      <w:pPr>
        <w:tabs>
          <w:tab w:val="center" w:pos="4680"/>
        </w:tabs>
        <w:rPr>
          <w:sz w:val="24"/>
          <w:szCs w:val="24"/>
        </w:rPr>
      </w:pPr>
      <w:r>
        <w:rPr>
          <w:sz w:val="24"/>
          <w:szCs w:val="24"/>
        </w:rPr>
        <w:t>Alcohol, Tobacco, &amp; Chemical Substances</w:t>
      </w:r>
    </w:p>
    <w:p w14:paraId="1D498085" w14:textId="2119E446" w:rsidR="00A52EF9" w:rsidRPr="00BE3220" w:rsidRDefault="00A52EF9" w:rsidP="00BE3220">
      <w:pPr>
        <w:tabs>
          <w:tab w:val="center" w:pos="4680"/>
        </w:tabs>
        <w:rPr>
          <w:sz w:val="24"/>
          <w:szCs w:val="24"/>
        </w:rPr>
      </w:pPr>
      <w:r>
        <w:rPr>
          <w:sz w:val="24"/>
          <w:szCs w:val="24"/>
        </w:rPr>
        <w:t>Health Practices, Products, &amp; Services</w:t>
      </w:r>
    </w:p>
    <w:p w14:paraId="11939612" w14:textId="77777777" w:rsidR="00E16A6B" w:rsidRDefault="00E16A6B" w:rsidP="00BE3220">
      <w:pPr>
        <w:tabs>
          <w:tab w:val="center" w:pos="4680"/>
        </w:tabs>
        <w:rPr>
          <w:b/>
          <w:sz w:val="24"/>
          <w:szCs w:val="24"/>
          <w:u w:val="single"/>
        </w:rPr>
      </w:pPr>
    </w:p>
    <w:p w14:paraId="75701C85" w14:textId="3B99AD21" w:rsidR="00BE3220" w:rsidRDefault="00BE3220" w:rsidP="00BE3220">
      <w:pPr>
        <w:tabs>
          <w:tab w:val="center" w:pos="4680"/>
        </w:tabs>
        <w:rPr>
          <w:b/>
          <w:sz w:val="24"/>
          <w:szCs w:val="24"/>
          <w:u w:val="single"/>
        </w:rPr>
      </w:pPr>
      <w:r>
        <w:rPr>
          <w:b/>
          <w:sz w:val="24"/>
          <w:szCs w:val="24"/>
          <w:u w:val="single"/>
        </w:rPr>
        <w:t xml:space="preserve">Marking Period 4 </w:t>
      </w:r>
    </w:p>
    <w:p w14:paraId="69031CFD" w14:textId="7741127E" w:rsidR="00BE3220" w:rsidRDefault="00E16A6B" w:rsidP="00BE3220">
      <w:pPr>
        <w:tabs>
          <w:tab w:val="center" w:pos="4680"/>
        </w:tabs>
        <w:rPr>
          <w:sz w:val="24"/>
          <w:szCs w:val="24"/>
        </w:rPr>
      </w:pPr>
      <w:r>
        <w:rPr>
          <w:sz w:val="24"/>
          <w:szCs w:val="24"/>
        </w:rPr>
        <w:t>Interaction of Body Systems</w:t>
      </w:r>
    </w:p>
    <w:p w14:paraId="4A9132F3" w14:textId="54CC45AC" w:rsidR="00E16A6B" w:rsidRPr="00BE3220" w:rsidRDefault="00E16A6B" w:rsidP="00BE3220">
      <w:pPr>
        <w:tabs>
          <w:tab w:val="center" w:pos="4680"/>
        </w:tabs>
        <w:rPr>
          <w:sz w:val="24"/>
          <w:szCs w:val="24"/>
        </w:rPr>
      </w:pPr>
      <w:r>
        <w:rPr>
          <w:sz w:val="24"/>
          <w:szCs w:val="24"/>
        </w:rPr>
        <w:t>Safe &amp; Unsafe Practices</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02178FFC" w14:textId="77777777" w:rsidR="00A15AE4" w:rsidRDefault="00A15AE4" w:rsidP="009E2E16">
      <w:pPr>
        <w:tabs>
          <w:tab w:val="center" w:pos="4680"/>
        </w:tabs>
        <w:rPr>
          <w:b/>
          <w:sz w:val="24"/>
          <w:szCs w:val="24"/>
          <w:u w:val="single"/>
        </w:rPr>
      </w:pPr>
    </w:p>
    <w:p w14:paraId="5469FEE3" w14:textId="006371F6" w:rsidR="002E0453" w:rsidRDefault="00BE3220" w:rsidP="009E2E16">
      <w:pPr>
        <w:tabs>
          <w:tab w:val="center" w:pos="4680"/>
        </w:tabs>
        <w:rPr>
          <w:b/>
          <w:sz w:val="24"/>
          <w:szCs w:val="24"/>
          <w:u w:val="single"/>
        </w:rPr>
      </w:pPr>
      <w:r>
        <w:rPr>
          <w:b/>
          <w:sz w:val="24"/>
          <w:szCs w:val="24"/>
          <w:u w:val="single"/>
        </w:rPr>
        <w:t>Standards/Eligible Content and Skills</w:t>
      </w:r>
    </w:p>
    <w:p w14:paraId="352D7C12" w14:textId="77777777" w:rsidR="00A15AE4" w:rsidRPr="006D28DA" w:rsidRDefault="00A15AE4" w:rsidP="009E2E16">
      <w:pPr>
        <w:tabs>
          <w:tab w:val="center" w:pos="4680"/>
        </w:tabs>
        <w:rPr>
          <w:b/>
          <w:sz w:val="24"/>
          <w:szCs w:val="24"/>
          <w:u w:val="single"/>
        </w:rPr>
      </w:pP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AA7910">
        <w:trPr>
          <w:trHeight w:val="440"/>
        </w:trPr>
        <w:tc>
          <w:tcPr>
            <w:tcW w:w="6475" w:type="dxa"/>
            <w:tcBorders>
              <w:top w:val="single" w:sz="4" w:space="0" w:color="auto"/>
            </w:tcBorders>
          </w:tcPr>
          <w:p w14:paraId="66894E77" w14:textId="4A5E033C" w:rsidR="00411762" w:rsidRDefault="002205C7" w:rsidP="00AA7910">
            <w:pPr>
              <w:rPr>
                <w:rFonts w:ascii="Calibri" w:hAnsi="Calibri" w:cs="Calibri"/>
                <w:color w:val="000000"/>
              </w:rPr>
            </w:pPr>
            <w:r>
              <w:t>Interaction of Body Systems- Identify and know the location and function of the major body organs and systems</w:t>
            </w:r>
            <w:r w:rsidR="000655A8">
              <w:t>.</w:t>
            </w:r>
          </w:p>
        </w:tc>
        <w:tc>
          <w:tcPr>
            <w:tcW w:w="1710" w:type="dxa"/>
            <w:tcBorders>
              <w:top w:val="single" w:sz="4" w:space="0" w:color="auto"/>
            </w:tcBorders>
            <w:vAlign w:val="center"/>
          </w:tcPr>
          <w:p w14:paraId="3C9422D1" w14:textId="79C8744B" w:rsidR="00411762" w:rsidRDefault="00E65BAE" w:rsidP="00411762">
            <w:pPr>
              <w:rPr>
                <w:rFonts w:ascii="Calibri" w:hAnsi="Calibri" w:cs="Calibri"/>
              </w:rPr>
            </w:pPr>
            <w:r>
              <w:t>10.1.3: Concepts of Health B</w:t>
            </w:r>
          </w:p>
        </w:tc>
        <w:tc>
          <w:tcPr>
            <w:tcW w:w="1170" w:type="dxa"/>
            <w:tcBorders>
              <w:top w:val="single" w:sz="4" w:space="0" w:color="auto"/>
            </w:tcBorders>
          </w:tcPr>
          <w:p w14:paraId="1A0881DF" w14:textId="324DA029" w:rsidR="00411762" w:rsidRPr="00205047" w:rsidRDefault="00205047" w:rsidP="00BE3220">
            <w:pPr>
              <w:tabs>
                <w:tab w:val="center" w:pos="4680"/>
              </w:tabs>
              <w:rPr>
                <w:sz w:val="20"/>
                <w:szCs w:val="20"/>
              </w:rPr>
            </w:pPr>
            <w:r w:rsidRPr="00205047">
              <w:rPr>
                <w:sz w:val="20"/>
                <w:szCs w:val="20"/>
              </w:rPr>
              <w:t>MP 4</w:t>
            </w:r>
          </w:p>
        </w:tc>
      </w:tr>
      <w:tr w:rsidR="00411762" w14:paraId="33EE2453" w14:textId="77777777" w:rsidTr="00AA7910">
        <w:tc>
          <w:tcPr>
            <w:tcW w:w="6475" w:type="dxa"/>
          </w:tcPr>
          <w:p w14:paraId="4C35C573" w14:textId="214F6144" w:rsidR="00411762" w:rsidRDefault="002205C7" w:rsidP="00AA7910">
            <w:pPr>
              <w:rPr>
                <w:rFonts w:ascii="Calibri" w:hAnsi="Calibri" w:cs="Calibri"/>
              </w:rPr>
            </w:pPr>
            <w:r>
              <w:t>Nutrition- Identify foods and the roles they have in keeping our bodies healthy.</w:t>
            </w:r>
          </w:p>
        </w:tc>
        <w:tc>
          <w:tcPr>
            <w:tcW w:w="1710" w:type="dxa"/>
            <w:vAlign w:val="center"/>
          </w:tcPr>
          <w:p w14:paraId="45E4ADE2" w14:textId="498E7918" w:rsidR="00411762" w:rsidRDefault="00E65BAE" w:rsidP="00411762">
            <w:pPr>
              <w:rPr>
                <w:rFonts w:ascii="Calibri" w:hAnsi="Calibri" w:cs="Calibri"/>
              </w:rPr>
            </w:pPr>
            <w:r>
              <w:t>10.1.3: Concepts of Health C</w:t>
            </w:r>
          </w:p>
        </w:tc>
        <w:tc>
          <w:tcPr>
            <w:tcW w:w="1170" w:type="dxa"/>
          </w:tcPr>
          <w:p w14:paraId="70EFA086" w14:textId="6345CE32" w:rsidR="00411762" w:rsidRPr="00554304" w:rsidRDefault="00416F6A" w:rsidP="00411762">
            <w:pPr>
              <w:rPr>
                <w:sz w:val="12"/>
                <w:szCs w:val="12"/>
              </w:rPr>
            </w:pPr>
            <w:r w:rsidRPr="00205047">
              <w:rPr>
                <w:sz w:val="20"/>
                <w:szCs w:val="20"/>
              </w:rPr>
              <w:t xml:space="preserve">MP </w:t>
            </w:r>
            <w:r>
              <w:rPr>
                <w:sz w:val="20"/>
                <w:szCs w:val="20"/>
              </w:rPr>
              <w:t>1</w:t>
            </w:r>
          </w:p>
        </w:tc>
      </w:tr>
      <w:tr w:rsidR="00411762" w14:paraId="68131D10" w14:textId="77777777" w:rsidTr="00AA7910">
        <w:tc>
          <w:tcPr>
            <w:tcW w:w="6475" w:type="dxa"/>
          </w:tcPr>
          <w:p w14:paraId="51F45081" w14:textId="425F1285" w:rsidR="00411762" w:rsidRDefault="002205C7" w:rsidP="00AA7910">
            <w:pPr>
              <w:rPr>
                <w:rFonts w:ascii="Calibri" w:hAnsi="Calibri" w:cs="Calibri"/>
              </w:rPr>
            </w:pPr>
            <w:r>
              <w:t>Alcohol, Tobacco, and Chemical Substances- Distinguish between healthy and unhealthy behaviors.</w:t>
            </w:r>
          </w:p>
        </w:tc>
        <w:tc>
          <w:tcPr>
            <w:tcW w:w="1710" w:type="dxa"/>
            <w:vAlign w:val="center"/>
          </w:tcPr>
          <w:p w14:paraId="24C1423A" w14:textId="465F1AA8" w:rsidR="00411762" w:rsidRDefault="00E65BAE" w:rsidP="00411762">
            <w:pPr>
              <w:rPr>
                <w:rFonts w:ascii="Calibri" w:hAnsi="Calibri" w:cs="Calibri"/>
              </w:rPr>
            </w:pPr>
            <w:r>
              <w:t>10.1.3: Concepts of Health D</w:t>
            </w:r>
          </w:p>
        </w:tc>
        <w:tc>
          <w:tcPr>
            <w:tcW w:w="1170" w:type="dxa"/>
          </w:tcPr>
          <w:p w14:paraId="25166AFC" w14:textId="4B218E92" w:rsidR="00411762" w:rsidRPr="00554304" w:rsidRDefault="00416F6A" w:rsidP="00411762">
            <w:pPr>
              <w:rPr>
                <w:sz w:val="12"/>
                <w:szCs w:val="12"/>
              </w:rPr>
            </w:pPr>
            <w:r w:rsidRPr="00205047">
              <w:rPr>
                <w:sz w:val="20"/>
                <w:szCs w:val="20"/>
              </w:rPr>
              <w:t xml:space="preserve">MP </w:t>
            </w:r>
            <w:r w:rsidR="00DE222A">
              <w:rPr>
                <w:sz w:val="20"/>
                <w:szCs w:val="20"/>
              </w:rPr>
              <w:t>3</w:t>
            </w:r>
          </w:p>
        </w:tc>
      </w:tr>
      <w:tr w:rsidR="00411762" w14:paraId="61F7AF15" w14:textId="77777777" w:rsidTr="00AA7910">
        <w:tc>
          <w:tcPr>
            <w:tcW w:w="6475" w:type="dxa"/>
          </w:tcPr>
          <w:p w14:paraId="404ECEA5" w14:textId="44513A28" w:rsidR="00411762" w:rsidRDefault="002205C7" w:rsidP="00AA7910">
            <w:pPr>
              <w:rPr>
                <w:rFonts w:ascii="Calibri" w:hAnsi="Calibri" w:cs="Calibri"/>
              </w:rPr>
            </w:pPr>
            <w:r>
              <w:t>Health Problems and Disease Prevention -Identify and discuss common health problems and risk factors.</w:t>
            </w:r>
          </w:p>
        </w:tc>
        <w:tc>
          <w:tcPr>
            <w:tcW w:w="1710" w:type="dxa"/>
            <w:vAlign w:val="center"/>
          </w:tcPr>
          <w:p w14:paraId="2A5A75FF" w14:textId="14B6DD93" w:rsidR="00411762" w:rsidRDefault="00E65BAE" w:rsidP="00411762">
            <w:pPr>
              <w:rPr>
                <w:rFonts w:ascii="Calibri" w:hAnsi="Calibri" w:cs="Calibri"/>
              </w:rPr>
            </w:pPr>
            <w:r>
              <w:t>10.1.3: Concepts of Health E</w:t>
            </w:r>
          </w:p>
        </w:tc>
        <w:tc>
          <w:tcPr>
            <w:tcW w:w="1170" w:type="dxa"/>
          </w:tcPr>
          <w:p w14:paraId="6B6D7A3F" w14:textId="4412CFCF" w:rsidR="00411762" w:rsidRPr="00554304" w:rsidRDefault="00DE222A" w:rsidP="00411762">
            <w:pPr>
              <w:rPr>
                <w:sz w:val="12"/>
                <w:szCs w:val="12"/>
              </w:rPr>
            </w:pPr>
            <w:r w:rsidRPr="00205047">
              <w:rPr>
                <w:sz w:val="20"/>
                <w:szCs w:val="20"/>
              </w:rPr>
              <w:t xml:space="preserve">MP </w:t>
            </w:r>
            <w:r>
              <w:rPr>
                <w:sz w:val="20"/>
                <w:szCs w:val="20"/>
              </w:rPr>
              <w:t>2</w:t>
            </w:r>
          </w:p>
        </w:tc>
      </w:tr>
      <w:tr w:rsidR="00411762" w14:paraId="77BDF5B1" w14:textId="77777777" w:rsidTr="00AA7910">
        <w:tc>
          <w:tcPr>
            <w:tcW w:w="6475" w:type="dxa"/>
          </w:tcPr>
          <w:p w14:paraId="76049D8E" w14:textId="07D47377" w:rsidR="00411762" w:rsidRDefault="00A92D51" w:rsidP="00AA7910">
            <w:pPr>
              <w:rPr>
                <w:rFonts w:ascii="Calibri" w:hAnsi="Calibri" w:cs="Calibri"/>
              </w:rPr>
            </w:pPr>
            <w:r>
              <w:t>Health Practices, Products, and Services- Identify personal hygiene practices and community helpers for good health.</w:t>
            </w:r>
          </w:p>
        </w:tc>
        <w:tc>
          <w:tcPr>
            <w:tcW w:w="1710" w:type="dxa"/>
            <w:vAlign w:val="center"/>
          </w:tcPr>
          <w:p w14:paraId="2A1D4421" w14:textId="1DA61F49" w:rsidR="00411762" w:rsidRDefault="00E65BAE" w:rsidP="00411762">
            <w:pPr>
              <w:rPr>
                <w:rFonts w:ascii="Calibri" w:hAnsi="Calibri" w:cs="Calibri"/>
              </w:rPr>
            </w:pPr>
            <w:r>
              <w:t>10.2.3: Healthful Living A</w:t>
            </w:r>
          </w:p>
        </w:tc>
        <w:tc>
          <w:tcPr>
            <w:tcW w:w="1170" w:type="dxa"/>
          </w:tcPr>
          <w:p w14:paraId="3FCB5D10" w14:textId="634DAD96" w:rsidR="00411762" w:rsidRPr="00554304" w:rsidRDefault="006D0D40" w:rsidP="00411762">
            <w:pPr>
              <w:rPr>
                <w:sz w:val="12"/>
                <w:szCs w:val="12"/>
              </w:rPr>
            </w:pPr>
            <w:r w:rsidRPr="00205047">
              <w:rPr>
                <w:sz w:val="20"/>
                <w:szCs w:val="20"/>
              </w:rPr>
              <w:t xml:space="preserve">MP </w:t>
            </w:r>
            <w:r>
              <w:rPr>
                <w:sz w:val="20"/>
                <w:szCs w:val="20"/>
              </w:rPr>
              <w:t>3</w:t>
            </w:r>
          </w:p>
        </w:tc>
      </w:tr>
      <w:tr w:rsidR="00411762" w14:paraId="49A62192" w14:textId="77777777" w:rsidTr="00AA7910">
        <w:tc>
          <w:tcPr>
            <w:tcW w:w="6475" w:type="dxa"/>
          </w:tcPr>
          <w:p w14:paraId="4D87810F" w14:textId="5DD8F255" w:rsidR="00411762" w:rsidRDefault="00A92D51" w:rsidP="00AA7910">
            <w:pPr>
              <w:rPr>
                <w:rFonts w:ascii="Calibri" w:hAnsi="Calibri" w:cs="Calibri"/>
              </w:rPr>
            </w:pPr>
            <w:r>
              <w:t>Health and the Environment- Identify environmental factors that affect health.</w:t>
            </w:r>
          </w:p>
        </w:tc>
        <w:tc>
          <w:tcPr>
            <w:tcW w:w="1710" w:type="dxa"/>
            <w:vAlign w:val="center"/>
          </w:tcPr>
          <w:p w14:paraId="626EFCBB" w14:textId="57F2B281" w:rsidR="00411762" w:rsidRDefault="00E65BAE" w:rsidP="00411762">
            <w:pPr>
              <w:rPr>
                <w:rFonts w:ascii="Calibri" w:hAnsi="Calibri" w:cs="Calibri"/>
              </w:rPr>
            </w:pPr>
            <w:r>
              <w:t>10.2.3: Healthful Living E</w:t>
            </w:r>
          </w:p>
        </w:tc>
        <w:tc>
          <w:tcPr>
            <w:tcW w:w="1170" w:type="dxa"/>
          </w:tcPr>
          <w:p w14:paraId="56E27B6E" w14:textId="217A75EA" w:rsidR="00411762" w:rsidRPr="00554304" w:rsidRDefault="0093196F" w:rsidP="00411762">
            <w:pPr>
              <w:rPr>
                <w:sz w:val="12"/>
                <w:szCs w:val="12"/>
              </w:rPr>
            </w:pPr>
            <w:r w:rsidRPr="00205047">
              <w:rPr>
                <w:sz w:val="20"/>
                <w:szCs w:val="20"/>
              </w:rPr>
              <w:t xml:space="preserve">MP </w:t>
            </w:r>
            <w:r>
              <w:rPr>
                <w:sz w:val="20"/>
                <w:szCs w:val="20"/>
              </w:rPr>
              <w:t>2</w:t>
            </w:r>
          </w:p>
        </w:tc>
      </w:tr>
      <w:tr w:rsidR="00411762" w14:paraId="362FC2C2" w14:textId="77777777" w:rsidTr="00AA7910">
        <w:tc>
          <w:tcPr>
            <w:tcW w:w="6475" w:type="dxa"/>
          </w:tcPr>
          <w:p w14:paraId="0562CC7D" w14:textId="7DCD46BF" w:rsidR="00411762" w:rsidRDefault="00A92D51" w:rsidP="00AA7910">
            <w:pPr>
              <w:rPr>
                <w:rFonts w:ascii="Calibri" w:hAnsi="Calibri" w:cs="Calibri"/>
              </w:rPr>
            </w:pPr>
            <w:r>
              <w:t>Safe and Unsafe Practices- Recognize safe and unsafe practices.</w:t>
            </w:r>
          </w:p>
        </w:tc>
        <w:tc>
          <w:tcPr>
            <w:tcW w:w="1710" w:type="dxa"/>
            <w:vAlign w:val="center"/>
          </w:tcPr>
          <w:p w14:paraId="3A4B80D9" w14:textId="39D7C6B5" w:rsidR="00411762" w:rsidRDefault="00C0763E" w:rsidP="00411762">
            <w:pPr>
              <w:rPr>
                <w:rFonts w:ascii="Calibri" w:hAnsi="Calibri" w:cs="Calibri"/>
              </w:rPr>
            </w:pPr>
            <w:r>
              <w:t>10.3.3 Safety and Injury Prevention A</w:t>
            </w:r>
          </w:p>
        </w:tc>
        <w:tc>
          <w:tcPr>
            <w:tcW w:w="1170" w:type="dxa"/>
          </w:tcPr>
          <w:p w14:paraId="7D9AC977" w14:textId="720A536B" w:rsidR="00411762" w:rsidRPr="00554304" w:rsidRDefault="0093196F" w:rsidP="00411762">
            <w:pPr>
              <w:rPr>
                <w:sz w:val="12"/>
                <w:szCs w:val="12"/>
              </w:rPr>
            </w:pPr>
            <w:r w:rsidRPr="00205047">
              <w:rPr>
                <w:sz w:val="20"/>
                <w:szCs w:val="20"/>
              </w:rPr>
              <w:t>MP 4</w:t>
            </w:r>
          </w:p>
        </w:tc>
      </w:tr>
      <w:tr w:rsidR="00411762" w:rsidRPr="00AA05C3" w14:paraId="606AC3EB" w14:textId="77777777" w:rsidTr="00AA7910">
        <w:tc>
          <w:tcPr>
            <w:tcW w:w="6475" w:type="dxa"/>
          </w:tcPr>
          <w:p w14:paraId="614F4EF0" w14:textId="4C738984" w:rsidR="00411762" w:rsidRDefault="00A92D51" w:rsidP="00AA7910">
            <w:pPr>
              <w:rPr>
                <w:rFonts w:ascii="Calibri" w:hAnsi="Calibri" w:cs="Calibri"/>
              </w:rPr>
            </w:pPr>
            <w:r>
              <w:t>Emergency Reponses - Recognize emergency situations and discuss appropriate responses</w:t>
            </w:r>
          </w:p>
        </w:tc>
        <w:tc>
          <w:tcPr>
            <w:tcW w:w="1710" w:type="dxa"/>
            <w:vAlign w:val="center"/>
          </w:tcPr>
          <w:p w14:paraId="3A942B73" w14:textId="25EEDF21" w:rsidR="00411762" w:rsidRDefault="00C0763E" w:rsidP="00411762">
            <w:pPr>
              <w:rPr>
                <w:rFonts w:ascii="Calibri" w:hAnsi="Calibri" w:cs="Calibri"/>
              </w:rPr>
            </w:pPr>
            <w:r>
              <w:t>10.3.3 Safety and Injury Prevention B</w:t>
            </w:r>
          </w:p>
        </w:tc>
        <w:tc>
          <w:tcPr>
            <w:tcW w:w="1170" w:type="dxa"/>
          </w:tcPr>
          <w:p w14:paraId="6153A195" w14:textId="391BF3C4" w:rsidR="00411762" w:rsidRPr="00554304" w:rsidRDefault="00A15AE4" w:rsidP="00411762">
            <w:pPr>
              <w:rPr>
                <w:sz w:val="12"/>
                <w:szCs w:val="12"/>
              </w:rPr>
            </w:pPr>
            <w:r w:rsidRPr="00205047">
              <w:rPr>
                <w:sz w:val="20"/>
                <w:szCs w:val="20"/>
              </w:rPr>
              <w:t xml:space="preserve">MP </w:t>
            </w:r>
            <w:r>
              <w:rPr>
                <w:sz w:val="20"/>
                <w:szCs w:val="20"/>
              </w:rPr>
              <w:t>1</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38749357" w:rsidR="00D870F7" w:rsidRPr="005B3B39" w:rsidRDefault="00D870F7" w:rsidP="00D870F7">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6B1365">
        <w:rPr>
          <w:b/>
        </w:rPr>
        <w:t xml:space="preserve"> </w:t>
      </w:r>
      <w:r w:rsidR="006B1365">
        <w:t>Class Participation, Teacher Observation.</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F808AA9"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6B1365">
        <w:rPr>
          <w:b/>
        </w:rPr>
        <w:t xml:space="preserve"> </w:t>
      </w:r>
      <w:r w:rsidR="006B1365">
        <w:t>Projects, Quizzes, Tests, and Written Assignments</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7DE5" w14:textId="77777777" w:rsidR="00884B6D" w:rsidRDefault="00884B6D" w:rsidP="005F535D">
      <w:pPr>
        <w:spacing w:after="0" w:line="240" w:lineRule="auto"/>
      </w:pPr>
      <w:r>
        <w:separator/>
      </w:r>
    </w:p>
  </w:endnote>
  <w:endnote w:type="continuationSeparator" w:id="0">
    <w:p w14:paraId="2CF2872C" w14:textId="77777777" w:rsidR="00884B6D" w:rsidRDefault="00884B6D"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6756" w14:textId="77777777" w:rsidR="00884B6D" w:rsidRDefault="00884B6D" w:rsidP="005F535D">
      <w:pPr>
        <w:spacing w:after="0" w:line="240" w:lineRule="auto"/>
      </w:pPr>
      <w:r>
        <w:separator/>
      </w:r>
    </w:p>
  </w:footnote>
  <w:footnote w:type="continuationSeparator" w:id="0">
    <w:p w14:paraId="17A39F7D" w14:textId="77777777" w:rsidR="00884B6D" w:rsidRDefault="00884B6D"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655A8"/>
    <w:rsid w:val="000B1463"/>
    <w:rsid w:val="000B542D"/>
    <w:rsid w:val="000F7DF6"/>
    <w:rsid w:val="001445F7"/>
    <w:rsid w:val="001D4B68"/>
    <w:rsid w:val="001D6D3F"/>
    <w:rsid w:val="001F3157"/>
    <w:rsid w:val="00205047"/>
    <w:rsid w:val="002205C7"/>
    <w:rsid w:val="00222BAF"/>
    <w:rsid w:val="00233FF6"/>
    <w:rsid w:val="002872D0"/>
    <w:rsid w:val="002D7128"/>
    <w:rsid w:val="002D7708"/>
    <w:rsid w:val="002E0453"/>
    <w:rsid w:val="002E4B5B"/>
    <w:rsid w:val="0037005B"/>
    <w:rsid w:val="003748AD"/>
    <w:rsid w:val="003E27C4"/>
    <w:rsid w:val="003F35A5"/>
    <w:rsid w:val="00411762"/>
    <w:rsid w:val="00416C75"/>
    <w:rsid w:val="00416F6A"/>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1365"/>
    <w:rsid w:val="006B7B66"/>
    <w:rsid w:val="006D0D40"/>
    <w:rsid w:val="006D28DA"/>
    <w:rsid w:val="006D4C30"/>
    <w:rsid w:val="007429F8"/>
    <w:rsid w:val="00772B43"/>
    <w:rsid w:val="007870C3"/>
    <w:rsid w:val="007A30D0"/>
    <w:rsid w:val="007D0A7F"/>
    <w:rsid w:val="007D3C02"/>
    <w:rsid w:val="00801417"/>
    <w:rsid w:val="00884B6D"/>
    <w:rsid w:val="00886D86"/>
    <w:rsid w:val="008A3F75"/>
    <w:rsid w:val="008A44A9"/>
    <w:rsid w:val="008D65B0"/>
    <w:rsid w:val="008E6BE6"/>
    <w:rsid w:val="0093196F"/>
    <w:rsid w:val="009444EA"/>
    <w:rsid w:val="00951201"/>
    <w:rsid w:val="00972718"/>
    <w:rsid w:val="00987387"/>
    <w:rsid w:val="009B4BE9"/>
    <w:rsid w:val="009C4107"/>
    <w:rsid w:val="009D193A"/>
    <w:rsid w:val="009E2E16"/>
    <w:rsid w:val="00A02591"/>
    <w:rsid w:val="00A15AE4"/>
    <w:rsid w:val="00A25DC0"/>
    <w:rsid w:val="00A34946"/>
    <w:rsid w:val="00A52EF9"/>
    <w:rsid w:val="00A56935"/>
    <w:rsid w:val="00A71E18"/>
    <w:rsid w:val="00A92D51"/>
    <w:rsid w:val="00AA05C3"/>
    <w:rsid w:val="00AA0DFB"/>
    <w:rsid w:val="00AA162D"/>
    <w:rsid w:val="00AA7910"/>
    <w:rsid w:val="00AD6B2C"/>
    <w:rsid w:val="00AE550C"/>
    <w:rsid w:val="00B1125C"/>
    <w:rsid w:val="00B279DB"/>
    <w:rsid w:val="00B3625C"/>
    <w:rsid w:val="00B542EF"/>
    <w:rsid w:val="00B7632E"/>
    <w:rsid w:val="00BD09E4"/>
    <w:rsid w:val="00BE3220"/>
    <w:rsid w:val="00C040F8"/>
    <w:rsid w:val="00C06854"/>
    <w:rsid w:val="00C0763E"/>
    <w:rsid w:val="00C11365"/>
    <w:rsid w:val="00C436ED"/>
    <w:rsid w:val="00C7166A"/>
    <w:rsid w:val="00C952EB"/>
    <w:rsid w:val="00CB58A0"/>
    <w:rsid w:val="00CE7B74"/>
    <w:rsid w:val="00D07C92"/>
    <w:rsid w:val="00D621F2"/>
    <w:rsid w:val="00D70673"/>
    <w:rsid w:val="00D870F7"/>
    <w:rsid w:val="00DA69F9"/>
    <w:rsid w:val="00DB35FF"/>
    <w:rsid w:val="00DE222A"/>
    <w:rsid w:val="00DE6A8D"/>
    <w:rsid w:val="00E16A6B"/>
    <w:rsid w:val="00E313E4"/>
    <w:rsid w:val="00E352C5"/>
    <w:rsid w:val="00E629A6"/>
    <w:rsid w:val="00E63B2A"/>
    <w:rsid w:val="00E65BAE"/>
    <w:rsid w:val="00E965D0"/>
    <w:rsid w:val="00EB741C"/>
    <w:rsid w:val="00EB7719"/>
    <w:rsid w:val="00EC6AE2"/>
    <w:rsid w:val="00F01E4E"/>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B4F02"/>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20</cp:revision>
  <cp:lastPrinted>2020-12-18T18:34:00Z</cp:lastPrinted>
  <dcterms:created xsi:type="dcterms:W3CDTF">2022-05-18T11:41:00Z</dcterms:created>
  <dcterms:modified xsi:type="dcterms:W3CDTF">2022-05-26T14:30:00Z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